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C23E" w14:textId="77777777" w:rsidR="00AB460E" w:rsidRDefault="00AB460E" w:rsidP="0016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14:ligatures w14:val="none"/>
        </w:rPr>
        <w:t>Terms of Reference</w:t>
      </w:r>
    </w:p>
    <w:p w14:paraId="65C42BA6" w14:textId="77777777" w:rsidR="00FA230B" w:rsidRDefault="00134F68" w:rsidP="0016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14:ligatures w14:val="none"/>
        </w:rPr>
        <w:t xml:space="preserve">For </w:t>
      </w:r>
    </w:p>
    <w:p w14:paraId="6FCEFF2A" w14:textId="0CF673C6" w:rsidR="00134F68" w:rsidRPr="00FA230B" w:rsidRDefault="00FA230B" w:rsidP="0016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:u w:val="single"/>
          <w14:ligatures w14:val="none"/>
        </w:rPr>
      </w:pPr>
      <w:r w:rsidRPr="00FA230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:u w:val="single"/>
          <w14:ligatures w14:val="none"/>
        </w:rPr>
        <w:t xml:space="preserve">Cyber violence </w:t>
      </w:r>
      <w:r w:rsidR="00134F68" w:rsidRPr="00FA230B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6"/>
          <w:szCs w:val="36"/>
          <w:u w:val="single"/>
          <w14:ligatures w14:val="none"/>
        </w:rPr>
        <w:t xml:space="preserve">policy analysis </w:t>
      </w:r>
    </w:p>
    <w:p w14:paraId="32C01F90" w14:textId="77777777" w:rsidR="002255A2" w:rsidRPr="0039164A" w:rsidRDefault="002255A2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Background:</w:t>
      </w:r>
    </w:p>
    <w:p w14:paraId="04125725" w14:textId="17BAB2E4" w:rsidR="003C279B" w:rsidRPr="0039164A" w:rsidRDefault="00133871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 xml:space="preserve">The project </w:t>
      </w:r>
      <w:r w:rsidR="00C94E12"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 xml:space="preserve">Ending Violence Against Women and Girls </w:t>
      </w:r>
      <w:r w:rsidR="00100CE1"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(Amena</w:t>
      </w:r>
      <w:proofErr w:type="gramStart"/>
      <w:r w:rsidR="003C279B"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);</w:t>
      </w:r>
      <w:proofErr w:type="gramEnd"/>
    </w:p>
    <w:p w14:paraId="7A33020E" w14:textId="21EBFD01" w:rsidR="00C94E12" w:rsidRPr="0039164A" w:rsidRDefault="001133F8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The project is</w:t>
      </w:r>
      <w:r w:rsidR="00100CE1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8004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focused</w:t>
      </w:r>
      <w:r w:rsidR="004D6CA2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on ending violence against women and girls</w:t>
      </w:r>
      <w:r w:rsidR="007B0D7A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in </w:t>
      </w:r>
      <w:r w:rsidR="008004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VAWG </w:t>
      </w:r>
      <w:r w:rsidR="004D6CA2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in Egypt.</w:t>
      </w:r>
      <w:r w:rsidR="008004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4D6CA2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main intervention of the project is </w:t>
      </w:r>
      <w:r w:rsidR="007B0D7A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focusing</w:t>
      </w:r>
      <w:r w:rsidR="008004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on </w:t>
      </w:r>
      <w:r w:rsidR="007B0D7A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improving</w:t>
      </w:r>
      <w:r w:rsidR="008004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prevention and response to VAWG</w:t>
      </w:r>
      <w:r w:rsidR="00D414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 The project started in September 2023 funded by USAID Egypt.</w:t>
      </w:r>
      <w:r w:rsidR="002F4E2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project is </w:t>
      </w:r>
      <w:r w:rsidR="002F4E2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for </w:t>
      </w:r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5 </w:t>
      </w:r>
      <w:r w:rsidR="008A46B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years,</w:t>
      </w:r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and it will work in six governorates in Egypt </w:t>
      </w:r>
      <w:proofErr w:type="spellStart"/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Dakahlia</w:t>
      </w:r>
      <w:proofErr w:type="spellEnd"/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Behaira</w:t>
      </w:r>
      <w:proofErr w:type="spellEnd"/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Sharkia, Fayoum, </w:t>
      </w:r>
      <w:proofErr w:type="spellStart"/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Assuit</w:t>
      </w:r>
      <w:proofErr w:type="spellEnd"/>
      <w:r w:rsidR="002F4E2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="00C13300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and Sohag.</w:t>
      </w:r>
    </w:p>
    <w:p w14:paraId="42678A35" w14:textId="0DCF6B30" w:rsidR="00AB460E" w:rsidRPr="00AB460E" w:rsidRDefault="00C94E12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Cyber Violence</w:t>
      </w:r>
      <w:r w:rsidR="00133871"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:</w:t>
      </w:r>
    </w:p>
    <w:p w14:paraId="192DEA40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Cyber violence against women and girls (VAWG) is a growing concern globally. It is a form of gender-based violence that is perpetrated through digital technologies, such as social media, messaging apps, and email. Cyber VAWG can take many forms, including online harassment, cyberstalking, non-consensual sharing of intimate images, and threats of violence.</w:t>
      </w:r>
    </w:p>
    <w:p w14:paraId="1180484F" w14:textId="52B34184" w:rsidR="00AB460E" w:rsidRPr="00AB460E" w:rsidRDefault="00AB460E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Purpose</w:t>
      </w:r>
      <w:r w:rsidR="00162289" w:rsidRPr="0039164A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 xml:space="preserve"> of the consultancy assignment:</w:t>
      </w:r>
    </w:p>
    <w:p w14:paraId="0162B4E0" w14:textId="7A9E72D4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purpose of this consultancy is to prepare a policy </w:t>
      </w:r>
      <w:r w:rsidR="008A46B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anal</w:t>
      </w:r>
      <w:r w:rsidR="00CB7DE6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ysis for the current policy/laws</w:t>
      </w:r>
      <w:r w:rsidR="00E8210E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and legal </w:t>
      </w:r>
      <w:r w:rsidR="0098452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procedures</w:t>
      </w:r>
      <w:r w:rsidR="00CB7DE6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related to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cyber VAWG in</w:t>
      </w:r>
      <w:r w:rsidR="00E8210E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Egypt.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The policy </w:t>
      </w:r>
      <w:r w:rsidR="0098452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analysis should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provide an overview of the issue, including its prevalence, impact, and legal framework. It </w:t>
      </w:r>
      <w:r w:rsidR="00CD45C8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should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also identify gaps in the current </w:t>
      </w:r>
      <w:r w:rsidR="0098452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legal framework (laws, policy, or procedures)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to cyber </w:t>
      </w:r>
      <w:r w:rsidR="007E2BE9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violence against women and girls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79324D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and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make recommendations for </w:t>
      </w:r>
      <w:r w:rsidR="007E2BE9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improvements</w:t>
      </w:r>
      <w:r w:rsidR="00AF431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including best practices in different countries </w:t>
      </w:r>
      <w:r w:rsidR="00315594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that </w:t>
      </w:r>
      <w:r w:rsidR="006E3FA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deal</w:t>
      </w:r>
      <w:r w:rsidR="00315594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with this issue and gaps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42C1B55D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lastRenderedPageBreak/>
        <w:t>Scope of Work</w:t>
      </w:r>
    </w:p>
    <w:p w14:paraId="1C578F46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The consultant will be responsible for the following tasks:</w:t>
      </w:r>
    </w:p>
    <w:p w14:paraId="6620313E" w14:textId="55CB8D35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Conduct a review of existing literature on cyber VAWG in </w:t>
      </w:r>
      <w:r w:rsidR="00B83508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Egypt.</w:t>
      </w:r>
    </w:p>
    <w:p w14:paraId="7C0DF5EE" w14:textId="79EB3899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Collect and analyze data on the prevalence and impact of cyber VAWG in </w:t>
      </w:r>
      <w:r w:rsidR="00B83508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</w:t>
      </w:r>
      <w:r w:rsidR="006711A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3EA0A692" w14:textId="1BF364DB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Review the legal framework related to cyber VAWG in </w:t>
      </w:r>
      <w:r w:rsidR="006711A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3422F34D" w14:textId="648F01D9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Identify gaps in the current response to cyber VAWG </w:t>
      </w:r>
      <w:r w:rsidR="00965FE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in Egypt.</w:t>
      </w:r>
    </w:p>
    <w:p w14:paraId="3BDC96A8" w14:textId="6BEBFBDB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Develop recommendations for action to address cyber VAWG in </w:t>
      </w:r>
      <w:r w:rsidR="00525E3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 and other countries.</w:t>
      </w:r>
    </w:p>
    <w:p w14:paraId="188C8207" w14:textId="15F62D24" w:rsidR="00AB460E" w:rsidRPr="00AB460E" w:rsidRDefault="00AB460E" w:rsidP="00391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Prepare a policy brief on cyber VAWG in </w:t>
      </w:r>
      <w:r w:rsidR="00525E3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based on the findings of the research.</w:t>
      </w:r>
    </w:p>
    <w:p w14:paraId="6164F599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Deliverables</w:t>
      </w:r>
    </w:p>
    <w:p w14:paraId="792ECB1E" w14:textId="4F8AB690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consultant will be expected to </w:t>
      </w:r>
      <w:r w:rsidR="00E324E9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deliver a</w:t>
      </w:r>
      <w:r w:rsidR="00F147DD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764849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final approved </w:t>
      </w:r>
      <w:r w:rsidR="00F147DD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report including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</w:t>
      </w:r>
      <w:r w:rsidR="00AB659D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following:</w:t>
      </w:r>
    </w:p>
    <w:p w14:paraId="13332441" w14:textId="5B8DCC83" w:rsidR="00AB460E" w:rsidRPr="00AB460E" w:rsidRDefault="00AB460E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 literature review on cyber VAWG in</w:t>
      </w:r>
      <w:r w:rsidR="001D4D8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Egypt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2C0289E3" w14:textId="69EBAE21" w:rsidR="00AB460E" w:rsidRPr="00AB460E" w:rsidRDefault="00AB460E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 data analysis on the prevalence and impact of cyber VAWG</w:t>
      </w:r>
      <w:r w:rsidR="001D4D8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50A477F0" w14:textId="6CDAF63F" w:rsidR="00F12B2B" w:rsidRPr="0039164A" w:rsidRDefault="00AB460E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 legal framework </w:t>
      </w:r>
      <w:r w:rsidR="00D45858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(Laws, policies, and procedures)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review on cyber VAWG in</w:t>
      </w:r>
      <w:r w:rsidR="001D4D8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Egypt</w:t>
      </w:r>
      <w:r w:rsidR="00F12B2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compared with some other countries especially in Arab countries.</w:t>
      </w:r>
    </w:p>
    <w:p w14:paraId="10D47FF0" w14:textId="54100D51" w:rsidR="00AB460E" w:rsidRPr="00AB460E" w:rsidRDefault="00BC6414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Current</w:t>
      </w:r>
      <w:r w:rsidR="00AB460E"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gaps in the current response to cyber VAWG in </w:t>
      </w:r>
      <w:r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Egypt.</w:t>
      </w:r>
    </w:p>
    <w:p w14:paraId="433CDA1A" w14:textId="61E3B760" w:rsidR="00AB460E" w:rsidRPr="00AB460E" w:rsidRDefault="00AB460E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 report</w:t>
      </w:r>
      <w:r w:rsidR="000E6B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’s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recommendations for action to address cyber VAWG in </w:t>
      </w:r>
      <w:r w:rsidR="00D350C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Egypt using mentioning best practices from </w:t>
      </w:r>
      <w:r w:rsidR="00A73F8A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different</w:t>
      </w:r>
      <w:r w:rsidR="00D350CB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countries.</w:t>
      </w:r>
    </w:p>
    <w:p w14:paraId="1087EEF7" w14:textId="334372D6" w:rsidR="00AB460E" w:rsidRPr="0039164A" w:rsidRDefault="00AB460E" w:rsidP="00391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 policy brief on cyber VAWG in </w:t>
      </w:r>
      <w:r w:rsidR="00A73F8A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3A96ECAD" w14:textId="73B03C05" w:rsidR="00764849" w:rsidRDefault="00764849" w:rsidP="003916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To </w:t>
      </w:r>
      <w:r w:rsidR="000E6BD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achieve</w:t>
      </w:r>
      <w:r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that, </w:t>
      </w:r>
      <w:r w:rsidR="00A03B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consultant is expected to submit </w:t>
      </w:r>
      <w:r w:rsidR="002E7EB1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 </w:t>
      </w:r>
      <w:r w:rsidR="00A03B73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first </w:t>
      </w:r>
      <w:r w:rsidR="00306A9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and </w:t>
      </w:r>
      <w:r w:rsidR="002E7EB1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 </w:t>
      </w:r>
      <w:r w:rsidR="00306A9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second draft for the project Chief of Party for her review and </w:t>
      </w:r>
      <w:r w:rsidR="002E7EB1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receive</w:t>
      </w:r>
      <w:r w:rsidR="00306A9F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comments and modify </w:t>
      </w:r>
      <w:r w:rsidR="002E7EB1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it before submitting the final version.</w:t>
      </w:r>
    </w:p>
    <w:p w14:paraId="418C960D" w14:textId="0D5F0639" w:rsidR="006B4174" w:rsidRPr="00AB460E" w:rsidRDefault="006B4174" w:rsidP="003916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</w:t>
      </w:r>
      <w:r w:rsidR="0006741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report will be submitted in Arabic or English and the</w:t>
      </w:r>
      <w:r w:rsidR="00382E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4D21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consultant</w:t>
      </w:r>
      <w:r w:rsidR="00ED501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4D21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will </w:t>
      </w:r>
      <w:r w:rsidR="002207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translate</w:t>
      </w:r>
      <w:r w:rsidR="004D21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it</w:t>
      </w:r>
      <w:r w:rsidR="009A788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 T</w:t>
      </w:r>
      <w:r w:rsidR="00C3228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he quality of the translation is the responsibility of the </w:t>
      </w:r>
      <w:r w:rsidR="00ED501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consultant.</w:t>
      </w:r>
    </w:p>
    <w:p w14:paraId="49E73333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lastRenderedPageBreak/>
        <w:t>Timeline</w:t>
      </w:r>
    </w:p>
    <w:p w14:paraId="45A41194" w14:textId="19BCC1C5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consultancy is expected to start </w:t>
      </w:r>
      <w:r w:rsidR="00764849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in</w:t>
      </w:r>
      <w:r w:rsidR="001C09F6" w:rsidRPr="0039164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January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and </w:t>
      </w:r>
      <w:r w:rsidR="007E41F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complete the assignment</w:t>
      </w:r>
      <w:r w:rsidR="004C738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by mid-March</w:t>
      </w:r>
      <w:r w:rsidR="0031136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883D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(two </w:t>
      </w:r>
      <w:r w:rsidR="00B47F9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months</w:t>
      </w:r>
      <w:r w:rsidR="00883D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and </w:t>
      </w:r>
      <w:r w:rsidR="00B47F9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 </w:t>
      </w:r>
      <w:r w:rsidR="00883D2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half from signing the contract date)</w:t>
      </w:r>
      <w:r w:rsidR="00B47F9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533C7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15 more days can be given for the translation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  <w:r w:rsidR="00A277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The </w:t>
      </w:r>
      <w:r w:rsidR="00A547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consultant should complete all deliverables including the translation of the approved final version </w:t>
      </w:r>
      <w:proofErr w:type="gramStart"/>
      <w:r w:rsidR="00A547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in</w:t>
      </w:r>
      <w:proofErr w:type="gramEnd"/>
      <w:r w:rsidR="00A547A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three month of signing contract.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424343BE" w14:textId="49F4D2EE" w:rsidR="00AB460E" w:rsidRPr="00AB460E" w:rsidRDefault="00AB460E" w:rsidP="00391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rtl/>
          <w:lang w:bidi="ar-EG"/>
          <w14:ligatures w14:val="none"/>
        </w:rPr>
      </w:pPr>
      <w:r w:rsidRPr="00AB460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Qualifications</w:t>
      </w:r>
      <w:r w:rsidR="00DD29C9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:</w:t>
      </w:r>
    </w:p>
    <w:p w14:paraId="298A95DC" w14:textId="77777777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The consultant should have the following qualifications:</w:t>
      </w:r>
    </w:p>
    <w:p w14:paraId="44A3D77D" w14:textId="7CF651BA" w:rsidR="00AB460E" w:rsidRPr="00AB460E" w:rsidRDefault="00AB460E" w:rsidP="003916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A degree in law</w:t>
      </w:r>
      <w:r w:rsidR="002B78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and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gender studies, or social sciences</w:t>
      </w:r>
      <w:r w:rsidR="002B78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will be a plus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5C8EA396" w14:textId="7AB19339" w:rsidR="00AB460E" w:rsidRPr="00AB460E" w:rsidRDefault="00AB460E" w:rsidP="003916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Experience conducting </w:t>
      </w:r>
      <w:r w:rsidR="005510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similar studies or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research </w:t>
      </w:r>
      <w:r w:rsidR="00E46AF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policy analysis </w:t>
      </w:r>
      <w:r w:rsidR="009444B3"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preferably</w:t>
      </w:r>
      <w:r w:rsidR="009444B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related to </w:t>
      </w: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gender-based violence.</w:t>
      </w:r>
    </w:p>
    <w:p w14:paraId="67268EC7" w14:textId="0B916243" w:rsidR="00AB460E" w:rsidRPr="00AB460E" w:rsidRDefault="00AB460E" w:rsidP="003916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Knowledge of the legal framework related to gender-based violence in </w:t>
      </w:r>
      <w:r w:rsidR="00E46AF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Egypt</w:t>
      </w:r>
      <w:r w:rsidR="001508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4D40479A" w14:textId="77777777" w:rsidR="00AB460E" w:rsidRPr="00AB460E" w:rsidRDefault="00AB460E" w:rsidP="003916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Excellent analytical and writing skills.</w:t>
      </w:r>
    </w:p>
    <w:p w14:paraId="3607BA95" w14:textId="33EE61F5" w:rsidR="00AB460E" w:rsidRDefault="00AB460E" w:rsidP="003916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B460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Fluency </w:t>
      </w:r>
      <w:r w:rsidR="0015082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in English and Arabic</w:t>
      </w:r>
      <w:r w:rsidR="00DE66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2B7D1093" w14:textId="1A6DE880" w:rsidR="00271656" w:rsidRDefault="00271656" w:rsidP="00271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For interested </w:t>
      </w:r>
      <w:r w:rsidR="00D802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consultants,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C23DC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please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send </w:t>
      </w:r>
      <w:r w:rsidR="00D802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your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technical and financial offer to this e-mail below </w:t>
      </w:r>
      <w:r w:rsidR="00F805D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before </w:t>
      </w:r>
      <w:r w:rsidR="00D802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the </w:t>
      </w:r>
      <w:r w:rsidR="00F805D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End of December 2023.</w:t>
      </w:r>
    </w:p>
    <w:p w14:paraId="1F9465F0" w14:textId="1ECEE108" w:rsidR="00F805DB" w:rsidRDefault="00D802FE" w:rsidP="00271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23DC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highlight w:val="yellow"/>
          <w14:ligatures w14:val="none"/>
        </w:rPr>
        <w:t>Procurement e-mail: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79469E38" w14:textId="77777777" w:rsidR="00D802FE" w:rsidRPr="00A47C6F" w:rsidRDefault="00D802FE" w:rsidP="00D802FE">
      <w:pPr>
        <w:spacing w:after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</w:pPr>
      <w:r w:rsidRPr="00A47C6F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2"/>
          <w:szCs w:val="32"/>
          <w14:ligatures w14:val="none"/>
        </w:rPr>
        <w:t>Payment Schedule:</w:t>
      </w:r>
    </w:p>
    <w:p w14:paraId="2530B1D2" w14:textId="484EC61C" w:rsidR="00D802FE" w:rsidRPr="00EB07C9" w:rsidRDefault="00D802FE" w:rsidP="00EB07C9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EB07C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Payment against actual worked days on a signed timesheet will be made upon confirmation and approval by the </w:t>
      </w:r>
      <w:r w:rsidR="00EB07C9" w:rsidRPr="00EB07C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Chief of Party</w:t>
      </w:r>
      <w:r w:rsidRPr="00EB07C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58229948" w14:textId="77777777" w:rsidR="00D802FE" w:rsidRPr="00EB07C9" w:rsidRDefault="00D802FE" w:rsidP="00D802F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A103B55" w14:textId="2618BD91" w:rsidR="00F805DB" w:rsidRPr="00AB460E" w:rsidRDefault="00F805DB" w:rsidP="00271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18DC596" w14:textId="7A271714" w:rsidR="00AB460E" w:rsidRPr="00AB460E" w:rsidRDefault="00AB460E" w:rsidP="00391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23AAE07A" w14:textId="41C1E2C7" w:rsidR="00574E39" w:rsidRPr="0039164A" w:rsidRDefault="00574E39" w:rsidP="0039164A">
      <w:pPr>
        <w:jc w:val="both"/>
        <w:rPr>
          <w:sz w:val="32"/>
          <w:szCs w:val="32"/>
        </w:rPr>
      </w:pPr>
    </w:p>
    <w:sectPr w:rsidR="00574E39" w:rsidRPr="0039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812"/>
    <w:multiLevelType w:val="multilevel"/>
    <w:tmpl w:val="7BEE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A28CC"/>
    <w:multiLevelType w:val="hybridMultilevel"/>
    <w:tmpl w:val="E53C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7929"/>
    <w:multiLevelType w:val="multilevel"/>
    <w:tmpl w:val="ECFC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841AC"/>
    <w:multiLevelType w:val="multilevel"/>
    <w:tmpl w:val="33E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358967">
    <w:abstractNumId w:val="0"/>
  </w:num>
  <w:num w:numId="2" w16cid:durableId="1434589104">
    <w:abstractNumId w:val="2"/>
  </w:num>
  <w:num w:numId="3" w16cid:durableId="851144841">
    <w:abstractNumId w:val="3"/>
  </w:num>
  <w:num w:numId="4" w16cid:durableId="12813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9"/>
    <w:rsid w:val="00067411"/>
    <w:rsid w:val="00090CC2"/>
    <w:rsid w:val="000C318C"/>
    <w:rsid w:val="000E6BD3"/>
    <w:rsid w:val="000F5D4B"/>
    <w:rsid w:val="00100CE1"/>
    <w:rsid w:val="001133F8"/>
    <w:rsid w:val="00133871"/>
    <w:rsid w:val="00134F68"/>
    <w:rsid w:val="00150824"/>
    <w:rsid w:val="00162289"/>
    <w:rsid w:val="001C09F6"/>
    <w:rsid w:val="001D4D8B"/>
    <w:rsid w:val="00220724"/>
    <w:rsid w:val="002255A2"/>
    <w:rsid w:val="00271656"/>
    <w:rsid w:val="002B78CF"/>
    <w:rsid w:val="002E7EB1"/>
    <w:rsid w:val="002F4E23"/>
    <w:rsid w:val="00304BC3"/>
    <w:rsid w:val="00306A9F"/>
    <w:rsid w:val="0031136E"/>
    <w:rsid w:val="00315594"/>
    <w:rsid w:val="00382E9D"/>
    <w:rsid w:val="0039164A"/>
    <w:rsid w:val="003C279B"/>
    <w:rsid w:val="00457393"/>
    <w:rsid w:val="004C738F"/>
    <w:rsid w:val="004D0369"/>
    <w:rsid w:val="004D2169"/>
    <w:rsid w:val="004D6CA2"/>
    <w:rsid w:val="004F7D8A"/>
    <w:rsid w:val="00522813"/>
    <w:rsid w:val="00525E3F"/>
    <w:rsid w:val="00533C73"/>
    <w:rsid w:val="005510F3"/>
    <w:rsid w:val="005557FF"/>
    <w:rsid w:val="0057427C"/>
    <w:rsid w:val="00574E39"/>
    <w:rsid w:val="005D1D55"/>
    <w:rsid w:val="006711AB"/>
    <w:rsid w:val="006B4174"/>
    <w:rsid w:val="006E3FA3"/>
    <w:rsid w:val="00715919"/>
    <w:rsid w:val="0075126B"/>
    <w:rsid w:val="00764849"/>
    <w:rsid w:val="0079324D"/>
    <w:rsid w:val="007B0D7A"/>
    <w:rsid w:val="007E2BE9"/>
    <w:rsid w:val="007E41F7"/>
    <w:rsid w:val="00800473"/>
    <w:rsid w:val="00807982"/>
    <w:rsid w:val="0087705E"/>
    <w:rsid w:val="00883D22"/>
    <w:rsid w:val="008A46B3"/>
    <w:rsid w:val="009444B3"/>
    <w:rsid w:val="00965FEB"/>
    <w:rsid w:val="0098452F"/>
    <w:rsid w:val="009A788C"/>
    <w:rsid w:val="00A03B73"/>
    <w:rsid w:val="00A277F3"/>
    <w:rsid w:val="00A47C6F"/>
    <w:rsid w:val="00A547AE"/>
    <w:rsid w:val="00A73F8A"/>
    <w:rsid w:val="00AB460E"/>
    <w:rsid w:val="00AB659D"/>
    <w:rsid w:val="00AF392A"/>
    <w:rsid w:val="00AF4313"/>
    <w:rsid w:val="00B4541F"/>
    <w:rsid w:val="00B47F95"/>
    <w:rsid w:val="00B83508"/>
    <w:rsid w:val="00BC2E8A"/>
    <w:rsid w:val="00BC6414"/>
    <w:rsid w:val="00BC6E33"/>
    <w:rsid w:val="00BC757C"/>
    <w:rsid w:val="00C13300"/>
    <w:rsid w:val="00C23DCC"/>
    <w:rsid w:val="00C32285"/>
    <w:rsid w:val="00C94E12"/>
    <w:rsid w:val="00CB7DE6"/>
    <w:rsid w:val="00CD45C8"/>
    <w:rsid w:val="00D350CB"/>
    <w:rsid w:val="00D41400"/>
    <w:rsid w:val="00D45858"/>
    <w:rsid w:val="00D802FE"/>
    <w:rsid w:val="00DC451A"/>
    <w:rsid w:val="00DD29C9"/>
    <w:rsid w:val="00DE6657"/>
    <w:rsid w:val="00E13192"/>
    <w:rsid w:val="00E324E9"/>
    <w:rsid w:val="00E35A11"/>
    <w:rsid w:val="00E46AFB"/>
    <w:rsid w:val="00E8210E"/>
    <w:rsid w:val="00EB07C9"/>
    <w:rsid w:val="00ED5019"/>
    <w:rsid w:val="00F12B2B"/>
    <w:rsid w:val="00F147DD"/>
    <w:rsid w:val="00F805DB"/>
    <w:rsid w:val="00F95F6E"/>
    <w:rsid w:val="00F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612C2"/>
  <w15:chartTrackingRefBased/>
  <w15:docId w15:val="{87EF544D-9E21-4C94-9F11-F734217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4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B4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0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460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B460E"/>
    <w:rPr>
      <w:color w:val="0000FF"/>
      <w:u w:val="single"/>
    </w:rPr>
  </w:style>
  <w:style w:type="paragraph" w:styleId="Revision">
    <w:name w:val="Revision"/>
    <w:hidden/>
    <w:uiPriority w:val="99"/>
    <w:semiHidden/>
    <w:rsid w:val="00B4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615</Words>
  <Characters>3315</Characters>
  <Application>Microsoft Office Word</Application>
  <DocSecurity>0</DocSecurity>
  <Lines>80</Lines>
  <Paragraphs>41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Thabet</dc:creator>
  <cp:keywords/>
  <dc:description/>
  <cp:lastModifiedBy>Vivian Thabet</cp:lastModifiedBy>
  <cp:revision>16</cp:revision>
  <dcterms:created xsi:type="dcterms:W3CDTF">2023-12-07T12:38:00Z</dcterms:created>
  <dcterms:modified xsi:type="dcterms:W3CDTF">2023-12-07T18:16:00Z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e0923e9307b5601b4a6e8db1389f4d179b44fae118da955521b33122445ff3c0</vt:lpwstr>
  </property>
</Properties>
</file>