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12C5" w14:textId="77777777" w:rsidR="00B9338C" w:rsidRDefault="00B9338C"/>
    <w:p w14:paraId="342AA177" w14:textId="46301BEB" w:rsidR="00535237" w:rsidRDefault="00535237" w:rsidP="00535237"/>
    <w:p w14:paraId="63DC1CBE" w14:textId="77777777" w:rsidR="00535237" w:rsidRDefault="00535237" w:rsidP="00535237"/>
    <w:p w14:paraId="6B1F3052" w14:textId="77777777" w:rsidR="00535237" w:rsidRDefault="00535237" w:rsidP="00535237"/>
    <w:p w14:paraId="249588EC" w14:textId="77777777" w:rsidR="00535237" w:rsidRPr="00535237" w:rsidRDefault="00535237" w:rsidP="00535237">
      <w:pPr>
        <w:jc w:val="center"/>
        <w:rPr>
          <w:sz w:val="36"/>
          <w:szCs w:val="36"/>
        </w:rPr>
      </w:pPr>
    </w:p>
    <w:p w14:paraId="469CC6BC" w14:textId="5D88F45F" w:rsidR="00535237" w:rsidRPr="00535237" w:rsidRDefault="00535237" w:rsidP="00535237">
      <w:pPr>
        <w:jc w:val="center"/>
        <w:rPr>
          <w:b/>
          <w:bCs/>
          <w:sz w:val="36"/>
          <w:szCs w:val="36"/>
        </w:rPr>
      </w:pPr>
      <w:r w:rsidRPr="00535237">
        <w:rPr>
          <w:b/>
          <w:bCs/>
          <w:sz w:val="36"/>
          <w:szCs w:val="36"/>
        </w:rPr>
        <w:t xml:space="preserve">Project: </w:t>
      </w:r>
      <w:r w:rsidR="00275DA9" w:rsidRPr="00275DA9">
        <w:rPr>
          <w:b/>
          <w:bCs/>
          <w:sz w:val="36"/>
          <w:szCs w:val="36"/>
        </w:rPr>
        <w:t>Strengthening Women’s Rights Movements within the Women, Peace, and Security (WPS) Agenda</w:t>
      </w:r>
    </w:p>
    <w:p w14:paraId="0781073F" w14:textId="77777777" w:rsidR="00535237" w:rsidRPr="00535237" w:rsidRDefault="00535237" w:rsidP="00535237">
      <w:pPr>
        <w:jc w:val="center"/>
        <w:rPr>
          <w:b/>
          <w:bCs/>
          <w:sz w:val="36"/>
          <w:szCs w:val="36"/>
        </w:rPr>
      </w:pPr>
      <w:r w:rsidRPr="00535237">
        <w:rPr>
          <w:b/>
          <w:bCs/>
          <w:sz w:val="36"/>
          <w:szCs w:val="36"/>
        </w:rPr>
        <w:t>Terms of Reference (TOR)</w:t>
      </w:r>
    </w:p>
    <w:p w14:paraId="7BFFB368" w14:textId="77777777" w:rsidR="00535237" w:rsidRPr="00535237" w:rsidRDefault="00535237" w:rsidP="00535237">
      <w:pPr>
        <w:jc w:val="center"/>
        <w:rPr>
          <w:b/>
          <w:bCs/>
        </w:rPr>
      </w:pPr>
      <w:r w:rsidRPr="00535237">
        <w:rPr>
          <w:b/>
          <w:bCs/>
        </w:rPr>
        <w:t>Final Project Evaluation</w:t>
      </w:r>
    </w:p>
    <w:p w14:paraId="1B928D7A" w14:textId="77777777" w:rsidR="00535237" w:rsidRDefault="00535237" w:rsidP="00535237">
      <w:pPr>
        <w:jc w:val="center"/>
        <w:rPr>
          <w:b/>
          <w:bCs/>
          <w:sz w:val="32"/>
          <w:szCs w:val="32"/>
        </w:rPr>
      </w:pPr>
      <w:r w:rsidRPr="00535237">
        <w:rPr>
          <w:b/>
          <w:bCs/>
        </w:rPr>
        <w:t>(Egypt Component)</w:t>
      </w:r>
      <w:r w:rsidRPr="00535237">
        <w:br/>
      </w:r>
      <w:r w:rsidRPr="00535237">
        <w:rPr>
          <w:b/>
          <w:bCs/>
          <w:sz w:val="32"/>
          <w:szCs w:val="32"/>
        </w:rPr>
        <w:t>2026</w:t>
      </w:r>
    </w:p>
    <w:p w14:paraId="52C043EA" w14:textId="77777777" w:rsidR="00535237" w:rsidRDefault="00535237" w:rsidP="00535237">
      <w:pPr>
        <w:jc w:val="center"/>
        <w:rPr>
          <w:b/>
          <w:bCs/>
          <w:sz w:val="32"/>
          <w:szCs w:val="32"/>
        </w:rPr>
      </w:pPr>
    </w:p>
    <w:p w14:paraId="00CE0739" w14:textId="77777777" w:rsidR="00535237" w:rsidRDefault="00535237" w:rsidP="00535237">
      <w:pPr>
        <w:jc w:val="center"/>
        <w:rPr>
          <w:b/>
          <w:bCs/>
          <w:sz w:val="32"/>
          <w:szCs w:val="32"/>
        </w:rPr>
      </w:pPr>
    </w:p>
    <w:p w14:paraId="0DAED01B" w14:textId="77777777" w:rsidR="00535237" w:rsidRDefault="00535237" w:rsidP="00535237">
      <w:pPr>
        <w:jc w:val="center"/>
        <w:rPr>
          <w:b/>
          <w:bCs/>
          <w:sz w:val="32"/>
          <w:szCs w:val="32"/>
        </w:rPr>
      </w:pPr>
    </w:p>
    <w:p w14:paraId="6B94A6F7" w14:textId="77777777" w:rsidR="00535237" w:rsidRDefault="00535237" w:rsidP="00535237">
      <w:pPr>
        <w:jc w:val="center"/>
        <w:rPr>
          <w:b/>
          <w:bCs/>
          <w:sz w:val="32"/>
          <w:szCs w:val="32"/>
        </w:rPr>
      </w:pPr>
    </w:p>
    <w:p w14:paraId="744F4667" w14:textId="77777777" w:rsidR="00535237" w:rsidRDefault="00535237" w:rsidP="00535237">
      <w:pPr>
        <w:jc w:val="center"/>
        <w:rPr>
          <w:b/>
          <w:bCs/>
          <w:sz w:val="32"/>
          <w:szCs w:val="32"/>
        </w:rPr>
      </w:pPr>
    </w:p>
    <w:p w14:paraId="3E3E2156" w14:textId="77777777" w:rsidR="00535237" w:rsidRDefault="00535237" w:rsidP="00535237">
      <w:pPr>
        <w:jc w:val="center"/>
        <w:rPr>
          <w:b/>
          <w:bCs/>
          <w:sz w:val="32"/>
          <w:szCs w:val="32"/>
        </w:rPr>
      </w:pPr>
    </w:p>
    <w:p w14:paraId="21322E17" w14:textId="77777777" w:rsidR="00535237" w:rsidRDefault="00535237" w:rsidP="00535237">
      <w:pPr>
        <w:jc w:val="center"/>
        <w:rPr>
          <w:b/>
          <w:bCs/>
          <w:sz w:val="32"/>
          <w:szCs w:val="32"/>
        </w:rPr>
      </w:pPr>
    </w:p>
    <w:p w14:paraId="43B08E61" w14:textId="77777777" w:rsidR="00535237" w:rsidRDefault="00535237" w:rsidP="00535237">
      <w:pPr>
        <w:jc w:val="center"/>
        <w:rPr>
          <w:b/>
          <w:bCs/>
          <w:sz w:val="32"/>
          <w:szCs w:val="32"/>
        </w:rPr>
      </w:pPr>
    </w:p>
    <w:p w14:paraId="74B74B1C" w14:textId="77777777" w:rsidR="00535237" w:rsidRDefault="00535237" w:rsidP="00535237">
      <w:pPr>
        <w:jc w:val="center"/>
        <w:rPr>
          <w:b/>
          <w:bCs/>
          <w:sz w:val="32"/>
          <w:szCs w:val="32"/>
        </w:rPr>
      </w:pPr>
    </w:p>
    <w:p w14:paraId="64F330F4" w14:textId="77777777" w:rsidR="00535237" w:rsidRDefault="00535237" w:rsidP="00535237">
      <w:pPr>
        <w:jc w:val="center"/>
        <w:rPr>
          <w:b/>
          <w:bCs/>
          <w:sz w:val="32"/>
          <w:szCs w:val="32"/>
        </w:rPr>
      </w:pPr>
    </w:p>
    <w:p w14:paraId="483DB0BF" w14:textId="77777777" w:rsidR="00AA5596" w:rsidRDefault="00AA5596" w:rsidP="00D80A69">
      <w:pPr>
        <w:rPr>
          <w:sz w:val="32"/>
          <w:szCs w:val="32"/>
        </w:rPr>
      </w:pPr>
    </w:p>
    <w:p w14:paraId="5C86215F" w14:textId="77777777" w:rsidR="0020188D" w:rsidRPr="00313869" w:rsidRDefault="0020188D" w:rsidP="00003787">
      <w:pPr>
        <w:pStyle w:val="ListParagraph"/>
        <w:numPr>
          <w:ilvl w:val="0"/>
          <w:numId w:val="1"/>
        </w:numPr>
        <w:rPr>
          <w:b/>
          <w:bCs/>
          <w:sz w:val="32"/>
          <w:szCs w:val="32"/>
        </w:rPr>
      </w:pPr>
      <w:r w:rsidRPr="00313869">
        <w:rPr>
          <w:b/>
          <w:bCs/>
          <w:sz w:val="32"/>
          <w:szCs w:val="32"/>
        </w:rPr>
        <w:lastRenderedPageBreak/>
        <w:t>Background and Rationale</w:t>
      </w:r>
    </w:p>
    <w:p w14:paraId="20BB1BBF" w14:textId="77777777" w:rsidR="0020188D" w:rsidRPr="00A86BD1" w:rsidRDefault="0020188D" w:rsidP="00003787">
      <w:pPr>
        <w:pStyle w:val="ListParagraph"/>
        <w:numPr>
          <w:ilvl w:val="0"/>
          <w:numId w:val="2"/>
        </w:numPr>
        <w:rPr>
          <w:b/>
          <w:bCs/>
        </w:rPr>
      </w:pPr>
      <w:r w:rsidRPr="00A86BD1">
        <w:rPr>
          <w:b/>
          <w:bCs/>
        </w:rPr>
        <w:t>General Overview</w:t>
      </w:r>
    </w:p>
    <w:p w14:paraId="452426E2" w14:textId="77777777" w:rsidR="0020188D" w:rsidRPr="00A86BD1" w:rsidRDefault="0020188D" w:rsidP="006201B3">
      <w:pPr>
        <w:ind w:left="360"/>
        <w:jc w:val="both"/>
      </w:pPr>
      <w:r w:rsidRPr="00A86BD1">
        <w:t>CARE Egypt Foundation (CEF) is a non-governmental organization registered with the Central Administration of Associations and Federations at the Ministry of Social Solidarity under registration number 2018/833. The Foundation's headquarters is located at 25 Asmaa Fahmy Street, 5th Floor, Plot No. 1, Square Y, Nasr City First Police Station, Cairo, Egypt. The Foundation is subject to the provisions of the Law on Regulating the Exercise of Civil Work No. 149 of 2019.</w:t>
      </w:r>
    </w:p>
    <w:p w14:paraId="16F4844C" w14:textId="77777777" w:rsidR="0020188D" w:rsidRPr="00A86BD1" w:rsidRDefault="0020188D" w:rsidP="006201B3">
      <w:pPr>
        <w:ind w:left="360"/>
        <w:jc w:val="both"/>
      </w:pPr>
      <w:r w:rsidRPr="00A86BD1">
        <w:t>CARE Egypt Foundation builds on and benefits from the legacy and expertise of CARE International in Egypt, which extends back to 1954. The Foundation assumes responsibility for designing, implementing, and managing development programs and projects aimed at improving living conditions and quality of life. This is achieved by responding to and addressing the root causes of poverty and meeting the most urgent needs of the poor and marginalized groups in Egypt, using a sustainable approach consistent with local and national cultures, realities, and contexts.</w:t>
      </w:r>
    </w:p>
    <w:p w14:paraId="3D840311" w14:textId="77777777" w:rsidR="0020188D" w:rsidRPr="00A86BD1" w:rsidRDefault="0020188D" w:rsidP="00003787">
      <w:pPr>
        <w:pStyle w:val="ListParagraph"/>
        <w:numPr>
          <w:ilvl w:val="0"/>
          <w:numId w:val="2"/>
        </w:numPr>
        <w:rPr>
          <w:b/>
          <w:bCs/>
        </w:rPr>
      </w:pPr>
      <w:r w:rsidRPr="00A86BD1">
        <w:rPr>
          <w:b/>
          <w:bCs/>
        </w:rPr>
        <w:t>Women’s Rights Program</w:t>
      </w:r>
    </w:p>
    <w:p w14:paraId="0C768A81" w14:textId="77777777" w:rsidR="0020188D" w:rsidRPr="00A86BD1" w:rsidRDefault="0020188D" w:rsidP="007A2D94">
      <w:pPr>
        <w:ind w:left="360"/>
        <w:jc w:val="both"/>
      </w:pPr>
      <w:r w:rsidRPr="00A86BD1">
        <w:t>The Women’s Rights Program was designed to empower poor and marginalized women in Egypt. Its impact goal is that "Poor and marginalized women in Egypt are empowered to claim their rights and enjoy a better quality of life by 2025." To achieve this goal, the program works with duty bearers in government and civil society, as well as with rights holders—women themselves—to address discriminatory attitudes and behaviors against women and girls.</w:t>
      </w:r>
    </w:p>
    <w:p w14:paraId="3AAC3CD9" w14:textId="77777777" w:rsidR="0020188D" w:rsidRPr="00A86BD1" w:rsidRDefault="0020188D" w:rsidP="007A2D94">
      <w:pPr>
        <w:ind w:left="360"/>
        <w:jc w:val="both"/>
      </w:pPr>
      <w:r w:rsidRPr="00A86BD1">
        <w:t>The program works with duty bearers to support their role in protecting and safeguarding women's rights. It also works with women themselves to encourage them to understand, express, and demand their legitimate rights. The program focuses on three main pillars: Individual Agency, Relations, and Structure, aiming to empower marginalized women in Egypt to access their rights. By focusing on individual agency, the program contributes to building women's self-esteem and confidence and enhances their financial independence, enabling them to realize their potential as productive members contributing to their families' and communities' income. Additionally, gender equality can be achieved when power relations (within families) become more gender-sensitive, addressing all forms of Gender-Based Violence (GBV) inside and outside the family, and when social structures (such as norms or social laws) are reformulated, particularly in areas of personal status and domestic violence, and are issued and enforced.</w:t>
      </w:r>
    </w:p>
    <w:p w14:paraId="7CA71D55" w14:textId="77777777" w:rsidR="0020188D" w:rsidRPr="00A86BD1" w:rsidRDefault="0020188D" w:rsidP="00003787">
      <w:pPr>
        <w:pStyle w:val="ListParagraph"/>
        <w:numPr>
          <w:ilvl w:val="0"/>
          <w:numId w:val="3"/>
        </w:numPr>
        <w:rPr>
          <w:b/>
          <w:bCs/>
        </w:rPr>
      </w:pPr>
      <w:r w:rsidRPr="00A86BD1">
        <w:rPr>
          <w:b/>
          <w:bCs/>
        </w:rPr>
        <w:t>Project Description: Strengthening Women’s Rights Movements within the Women, Peace, and Security (WPS) Agenda</w:t>
      </w:r>
    </w:p>
    <w:p w14:paraId="321D312D" w14:textId="77777777" w:rsidR="0020188D" w:rsidRPr="00A86BD1" w:rsidRDefault="0020188D" w:rsidP="004E7D2D">
      <w:pPr>
        <w:ind w:left="360"/>
        <w:jc w:val="both"/>
      </w:pPr>
      <w:r w:rsidRPr="00A86BD1">
        <w:lastRenderedPageBreak/>
        <w:t>The project "Strengthening Women's Rights Movements within the Women, Peace, and Security Agenda in Three Different Contexts" is implemented in Egypt, Iraq, and South Sudan with funding from the Federal Ministry for Economic Cooperation and Development (BMZ) through CARE Germany. The project lasts for three and a half years, from July 2022 to December 2025.</w:t>
      </w:r>
    </w:p>
    <w:p w14:paraId="24F46962" w14:textId="77777777" w:rsidR="0020188D" w:rsidRPr="00A86BD1" w:rsidRDefault="0020188D" w:rsidP="004E7D2D">
      <w:pPr>
        <w:ind w:left="360"/>
        <w:jc w:val="both"/>
      </w:pPr>
      <w:r w:rsidRPr="00A86BD1">
        <w:t>The project aims to support Women's Rights Organizations (WROs) to empower them to work with marginalized groups on women's rights and gender equality issues in their countries. This support comes within the framework of broader women's rights movements' efforts, which include the implementation of UN Security Council Resolution 1325 and the Women, Peace, and Security (WPS) agenda. This project recognizes that women's rights movements consist of WROs and the most needy groups of women and girls. The project works with WROs as implementing partners and as target groups, using the term "Participating Women's Rights Organizations" to refer to both categories.</w:t>
      </w:r>
    </w:p>
    <w:p w14:paraId="4F7BACDE" w14:textId="77777777" w:rsidR="0020188D" w:rsidRPr="00A86BD1" w:rsidRDefault="0020188D" w:rsidP="00003787">
      <w:pPr>
        <w:pStyle w:val="ListParagraph"/>
        <w:numPr>
          <w:ilvl w:val="0"/>
          <w:numId w:val="4"/>
        </w:numPr>
        <w:rPr>
          <w:b/>
          <w:bCs/>
        </w:rPr>
      </w:pPr>
      <w:r w:rsidRPr="00A86BD1">
        <w:rPr>
          <w:b/>
          <w:bCs/>
        </w:rPr>
        <w:t>Scope in Egypt:</w:t>
      </w:r>
    </w:p>
    <w:p w14:paraId="03981086" w14:textId="75185B00" w:rsidR="0065069A" w:rsidRPr="00A86BD1" w:rsidRDefault="0020188D" w:rsidP="00284791">
      <w:pPr>
        <w:ind w:left="360"/>
        <w:jc w:val="both"/>
      </w:pPr>
      <w:r w:rsidRPr="00A86BD1">
        <w:t>In Egypt, the project directly targets 11 Women's Rights Organizations (one as a partner organization and ten as target groups). Additionally, it targets 52 staff members and volunteers from these organizations, 500 women and girls from marginalized groups, and 30 decision-makers (5 at the national level and 25 at the governorate level). Indirectly, the project seeks to reach 5,000 people in Egypt (65% women/girls and 35% men/boys). The project implements its activities in Cairo, Giza, Qalyubia, Assiut, and Sohag.</w:t>
      </w:r>
    </w:p>
    <w:p w14:paraId="5D4240E4" w14:textId="77777777" w:rsidR="0020188D" w:rsidRPr="00A86BD1" w:rsidRDefault="0020188D" w:rsidP="00003787">
      <w:pPr>
        <w:pStyle w:val="ListParagraph"/>
        <w:numPr>
          <w:ilvl w:val="0"/>
          <w:numId w:val="5"/>
        </w:numPr>
        <w:rPr>
          <w:b/>
          <w:bCs/>
        </w:rPr>
      </w:pPr>
      <w:r w:rsidRPr="00A86BD1">
        <w:rPr>
          <w:b/>
          <w:bCs/>
        </w:rPr>
        <w:t>Implementation Partners:</w:t>
      </w:r>
    </w:p>
    <w:p w14:paraId="51C0578C" w14:textId="31EBC813" w:rsidR="0020188D" w:rsidRPr="00A86BD1" w:rsidRDefault="0020188D" w:rsidP="000B18F0">
      <w:pPr>
        <w:ind w:left="360"/>
        <w:jc w:val="both"/>
      </w:pPr>
      <w:r w:rsidRPr="00A86BD1">
        <w:t xml:space="preserve">In Egypt, CARE Egypt Foundation collaborates with a classified WRO as an implementing partner: </w:t>
      </w:r>
    </w:p>
    <w:p w14:paraId="626841EC" w14:textId="77777777" w:rsidR="00032586" w:rsidRPr="00A86BD1" w:rsidRDefault="00032586" w:rsidP="00003787">
      <w:pPr>
        <w:numPr>
          <w:ilvl w:val="0"/>
          <w:numId w:val="47"/>
        </w:numPr>
        <w:jc w:val="both"/>
      </w:pPr>
      <w:r w:rsidRPr="00A86BD1">
        <w:rPr>
          <w:b/>
          <w:bCs/>
        </w:rPr>
        <w:t>The Center for Appropriate Communication Techniques for Development (ACT).</w:t>
      </w:r>
    </w:p>
    <w:p w14:paraId="11703786" w14:textId="77777777" w:rsidR="003B5A24" w:rsidRPr="00A86BD1" w:rsidRDefault="00032586" w:rsidP="00003787">
      <w:pPr>
        <w:numPr>
          <w:ilvl w:val="0"/>
          <w:numId w:val="47"/>
        </w:numPr>
        <w:jc w:val="both"/>
      </w:pPr>
      <w:r w:rsidRPr="00A86BD1">
        <w:rPr>
          <w:b/>
          <w:bCs/>
        </w:rPr>
        <w:t>The Center for Egyptian Women's Legal Assistance (CEWLA).</w:t>
      </w:r>
    </w:p>
    <w:p w14:paraId="54B5F8C3" w14:textId="56122708" w:rsidR="00032586" w:rsidRPr="00A86BD1" w:rsidRDefault="00032586" w:rsidP="003B5A24">
      <w:pPr>
        <w:jc w:val="both"/>
      </w:pPr>
      <w:r w:rsidRPr="00A86BD1">
        <w:t>Through these partners, the project works with </w:t>
      </w:r>
      <w:r w:rsidRPr="00A86BD1">
        <w:rPr>
          <w:b/>
          <w:bCs/>
        </w:rPr>
        <w:t>10 grassroots Community Development Associations (CDAs)</w:t>
      </w:r>
      <w:r w:rsidRPr="00A86BD1">
        <w:t> (Targeted WROs).</w:t>
      </w:r>
    </w:p>
    <w:p w14:paraId="5AEB8534" w14:textId="77777777" w:rsidR="0020188D" w:rsidRPr="00A86BD1" w:rsidRDefault="0020188D" w:rsidP="00B85CA4">
      <w:pPr>
        <w:jc w:val="both"/>
        <w:rPr>
          <w:b/>
          <w:bCs/>
          <w:i/>
          <w:iCs/>
          <w:u w:val="single"/>
        </w:rPr>
      </w:pPr>
      <w:r w:rsidRPr="00A86BD1">
        <w:rPr>
          <w:b/>
          <w:bCs/>
          <w:i/>
          <w:iCs/>
          <w:u w:val="single"/>
        </w:rPr>
        <w:t>(Note: Cooperation in Iraq and South Sudan is mentioned for context but is outside the scope of this evaluation).</w:t>
      </w:r>
    </w:p>
    <w:p w14:paraId="1861F296" w14:textId="77777777" w:rsidR="0020188D" w:rsidRPr="00A86BD1" w:rsidRDefault="0020188D" w:rsidP="0036077D">
      <w:pPr>
        <w:ind w:left="360"/>
        <w:jc w:val="both"/>
      </w:pPr>
      <w:r w:rsidRPr="00A86BD1">
        <w:t>CARE Egypt Foundation plays a role in providing project coordination and strengthening institutional and technical capacities, with a focus on the WPS agenda. During the implementation period, participating WROs assume greater roles in leadership and responsibility, supported by long-term mentoring, guidance, and technical assistance.</w:t>
      </w:r>
    </w:p>
    <w:p w14:paraId="03684C16" w14:textId="77777777" w:rsidR="00E41877" w:rsidRPr="00A86BD1" w:rsidRDefault="00E41877" w:rsidP="00E41877">
      <w:pPr>
        <w:ind w:left="360"/>
      </w:pPr>
      <w:r w:rsidRPr="00A86BD1">
        <w:rPr>
          <w:b/>
          <w:bCs/>
        </w:rPr>
        <w:lastRenderedPageBreak/>
        <w:t>Key Project Milestones:</w:t>
      </w:r>
      <w:r w:rsidRPr="00A86BD1">
        <w:br/>
        <w:t>To ensure this evaluation builds on previous evidence, the Consultant should take into account that:</w:t>
      </w:r>
    </w:p>
    <w:p w14:paraId="533B9180" w14:textId="77777777" w:rsidR="00E41877" w:rsidRPr="00A86BD1" w:rsidRDefault="00E41877" w:rsidP="00003787">
      <w:pPr>
        <w:numPr>
          <w:ilvl w:val="0"/>
          <w:numId w:val="48"/>
        </w:numPr>
      </w:pPr>
      <w:r w:rsidRPr="00A86BD1">
        <w:t>A </w:t>
      </w:r>
      <w:r w:rsidRPr="00A86BD1">
        <w:rPr>
          <w:b/>
          <w:bCs/>
        </w:rPr>
        <w:t>Baseline Study</w:t>
      </w:r>
      <w:r w:rsidRPr="00A86BD1">
        <w:t> was conducted in [Insert Date/Year].</w:t>
      </w:r>
    </w:p>
    <w:p w14:paraId="2079152C" w14:textId="2068E50E" w:rsidR="00E41877" w:rsidRPr="00A86BD1" w:rsidRDefault="00E41877" w:rsidP="00003787">
      <w:pPr>
        <w:numPr>
          <w:ilvl w:val="0"/>
          <w:numId w:val="48"/>
        </w:numPr>
      </w:pPr>
      <w:r w:rsidRPr="00A86BD1">
        <w:t>A </w:t>
      </w:r>
      <w:r w:rsidRPr="00A86BD1">
        <w:rPr>
          <w:b/>
          <w:bCs/>
        </w:rPr>
        <w:t>Learning Study</w:t>
      </w:r>
      <w:r w:rsidRPr="00A86BD1">
        <w:t> was conducted in </w:t>
      </w:r>
      <w:r w:rsidR="00962A6C" w:rsidRPr="00A86BD1">
        <w:t>November 2025</w:t>
      </w:r>
      <w:r w:rsidRPr="00A86BD1">
        <w:t>.</w:t>
      </w:r>
    </w:p>
    <w:p w14:paraId="00A41E0B" w14:textId="77777777" w:rsidR="0020188D" w:rsidRPr="00A86BD1" w:rsidRDefault="0020188D" w:rsidP="00003787">
      <w:pPr>
        <w:pStyle w:val="ListParagraph"/>
        <w:numPr>
          <w:ilvl w:val="0"/>
          <w:numId w:val="6"/>
        </w:numPr>
        <w:rPr>
          <w:b/>
          <w:bCs/>
        </w:rPr>
      </w:pPr>
      <w:r w:rsidRPr="00A86BD1">
        <w:rPr>
          <w:b/>
          <w:bCs/>
        </w:rPr>
        <w:t>Project Logic and Expected Results:</w:t>
      </w:r>
    </w:p>
    <w:p w14:paraId="33212C4B" w14:textId="77777777" w:rsidR="0020188D" w:rsidRPr="00A86BD1" w:rsidRDefault="0020188D" w:rsidP="0036077D">
      <w:pPr>
        <w:ind w:left="360"/>
        <w:jc w:val="both"/>
      </w:pPr>
      <w:r w:rsidRPr="00A86BD1">
        <w:t xml:space="preserve">The goal is to increase the influence of WROs and the most needy groups of women and girls in Egypt, Iraq, and South Sudan on the UN Security Council Resolution 1325 agenda at local, national, and multi-country levels. To achieve this, the project seeks to realize one outcome and </w:t>
      </w:r>
      <w:r w:rsidRPr="00A86BD1">
        <w:rPr>
          <w:b/>
          <w:bCs/>
          <w:u w:val="single"/>
        </w:rPr>
        <w:t>three expected outputs:</w:t>
      </w:r>
    </w:p>
    <w:p w14:paraId="1AACF7BD" w14:textId="0A474985" w:rsidR="0020188D" w:rsidRPr="00A86BD1" w:rsidRDefault="0020188D" w:rsidP="00D63848">
      <w:pPr>
        <w:ind w:left="360"/>
        <w:jc w:val="both"/>
      </w:pPr>
      <w:r w:rsidRPr="00A86BD1">
        <w:rPr>
          <w:b/>
          <w:bCs/>
        </w:rPr>
        <w:t>Targeted Outcome:</w:t>
      </w:r>
      <w:r w:rsidRPr="00A86BD1">
        <w:t xml:space="preserve"> Empowering WROs and the </w:t>
      </w:r>
      <w:r w:rsidR="00D63848" w:rsidRPr="00A86BD1">
        <w:t>neediest</w:t>
      </w:r>
      <w:r w:rsidRPr="00A86BD1">
        <w:t xml:space="preserve"> groups of women and girls to use their enhanced strategies, developed capacities, and improved networks to organize work, participate, and influence collectively in informal decision-making circles (civil society-led) and formal ones (government-led) related to the WPS agenda at local, national, and multi-country levels.</w:t>
      </w:r>
    </w:p>
    <w:p w14:paraId="78A8DF5E" w14:textId="77777777" w:rsidR="0020188D" w:rsidRPr="00A86BD1" w:rsidRDefault="0020188D" w:rsidP="00003787">
      <w:pPr>
        <w:pStyle w:val="ListParagraph"/>
        <w:numPr>
          <w:ilvl w:val="0"/>
          <w:numId w:val="7"/>
        </w:numPr>
        <w:jc w:val="both"/>
      </w:pPr>
      <w:r w:rsidRPr="00A86BD1">
        <w:rPr>
          <w:b/>
          <w:bCs/>
        </w:rPr>
        <w:t>Output 1:</w:t>
      </w:r>
      <w:r w:rsidRPr="00A86BD1">
        <w:t xml:space="preserve"> Enhancing the institutional capacities of WROs, increasing their ability to mobilize resources and improve strategic plans related to WPS, ensuring they are representative of and accountable to marginalized women and girls.</w:t>
      </w:r>
    </w:p>
    <w:p w14:paraId="018E0935" w14:textId="77777777" w:rsidR="0020188D" w:rsidRPr="00A86BD1" w:rsidRDefault="0020188D" w:rsidP="00003787">
      <w:pPr>
        <w:pStyle w:val="ListParagraph"/>
        <w:numPr>
          <w:ilvl w:val="0"/>
          <w:numId w:val="7"/>
        </w:numPr>
        <w:jc w:val="both"/>
      </w:pPr>
      <w:r w:rsidRPr="00A86BD1">
        <w:rPr>
          <w:b/>
          <w:bCs/>
        </w:rPr>
        <w:t>Output 2:</w:t>
      </w:r>
      <w:r w:rsidRPr="00A86BD1">
        <w:t xml:space="preserve"> Increased capacity of WROs and marginalized women/girls to engage in decision-making processes related to the WPS agenda, whether in formal or informal circles, at local, national, and participating country levels.</w:t>
      </w:r>
    </w:p>
    <w:p w14:paraId="4103EF46" w14:textId="77777777" w:rsidR="0020188D" w:rsidRPr="00A86BD1" w:rsidRDefault="0020188D" w:rsidP="00003787">
      <w:pPr>
        <w:pStyle w:val="ListParagraph"/>
        <w:numPr>
          <w:ilvl w:val="0"/>
          <w:numId w:val="7"/>
        </w:numPr>
        <w:jc w:val="both"/>
      </w:pPr>
      <w:r w:rsidRPr="00A86BD1">
        <w:rPr>
          <w:b/>
          <w:bCs/>
        </w:rPr>
        <w:t>Output 3:</w:t>
      </w:r>
      <w:r w:rsidRPr="00A86BD1">
        <w:t xml:space="preserve"> Strengthening networks of WROs and marginalized women/girls, enabling them to gather and exchange lessons learned and expand their scope within the WPS framework at local, national, and participating country levels.</w:t>
      </w:r>
    </w:p>
    <w:p w14:paraId="2DBAC243" w14:textId="77777777" w:rsidR="00F30623" w:rsidRPr="00A86BD1" w:rsidRDefault="00F30623" w:rsidP="00F30623">
      <w:pPr>
        <w:pStyle w:val="ListParagraph"/>
        <w:ind w:left="1080"/>
        <w:jc w:val="both"/>
      </w:pPr>
    </w:p>
    <w:p w14:paraId="4EFF3309" w14:textId="77777777" w:rsidR="0020188D" w:rsidRPr="00A86BD1" w:rsidRDefault="0020188D" w:rsidP="00003787">
      <w:pPr>
        <w:pStyle w:val="ListParagraph"/>
        <w:numPr>
          <w:ilvl w:val="0"/>
          <w:numId w:val="8"/>
        </w:numPr>
        <w:jc w:val="both"/>
        <w:rPr>
          <w:b/>
          <w:bCs/>
        </w:rPr>
      </w:pPr>
      <w:r w:rsidRPr="00A86BD1">
        <w:rPr>
          <w:b/>
          <w:bCs/>
        </w:rPr>
        <w:t>Key Activities Implemented:</w:t>
      </w:r>
    </w:p>
    <w:p w14:paraId="2F55C713" w14:textId="77777777" w:rsidR="0020188D" w:rsidRPr="00A86BD1" w:rsidRDefault="0020188D" w:rsidP="00D63848">
      <w:pPr>
        <w:ind w:left="360"/>
        <w:jc w:val="both"/>
      </w:pPr>
      <w:r w:rsidRPr="00A86BD1">
        <w:t>To achieve these goals, the project implements the following key activities (aligned with the evaluation scope):</w:t>
      </w:r>
    </w:p>
    <w:p w14:paraId="08C2DF79" w14:textId="77777777" w:rsidR="0020188D" w:rsidRPr="00A86BD1" w:rsidRDefault="0020188D" w:rsidP="00003787">
      <w:pPr>
        <w:pStyle w:val="ListParagraph"/>
        <w:numPr>
          <w:ilvl w:val="0"/>
          <w:numId w:val="9"/>
        </w:numPr>
        <w:jc w:val="both"/>
      </w:pPr>
      <w:r w:rsidRPr="00A86BD1">
        <w:rPr>
          <w:b/>
          <w:bCs/>
        </w:rPr>
        <w:t>Activity 1.1:</w:t>
      </w:r>
      <w:r w:rsidRPr="00A86BD1">
        <w:t xml:space="preserve"> Developing and implementing institutional capacity-building plans for participating WROs through training, technical assistance, mentoring, and guidance.</w:t>
      </w:r>
    </w:p>
    <w:p w14:paraId="3703E7F2" w14:textId="77777777" w:rsidR="0020188D" w:rsidRPr="00A86BD1" w:rsidRDefault="0020188D" w:rsidP="00003787">
      <w:pPr>
        <w:pStyle w:val="ListParagraph"/>
        <w:numPr>
          <w:ilvl w:val="0"/>
          <w:numId w:val="10"/>
        </w:numPr>
        <w:jc w:val="both"/>
      </w:pPr>
      <w:r w:rsidRPr="00A86BD1">
        <w:rPr>
          <w:b/>
          <w:bCs/>
        </w:rPr>
        <w:t>Activity 2.1:</w:t>
      </w:r>
      <w:r w:rsidRPr="00A86BD1">
        <w:t xml:space="preserve"> Developing and implementing resource mobilization strategies for participating WROs to enhance their access to funding opportunities.</w:t>
      </w:r>
    </w:p>
    <w:p w14:paraId="2BE5F13A" w14:textId="77777777" w:rsidR="0020188D" w:rsidRPr="00A86BD1" w:rsidRDefault="0020188D" w:rsidP="00003787">
      <w:pPr>
        <w:pStyle w:val="ListParagraph"/>
        <w:numPr>
          <w:ilvl w:val="0"/>
          <w:numId w:val="11"/>
        </w:numPr>
        <w:jc w:val="both"/>
      </w:pPr>
      <w:r w:rsidRPr="00A86BD1">
        <w:rPr>
          <w:b/>
          <w:bCs/>
        </w:rPr>
        <w:t xml:space="preserve">Activity 3.1: </w:t>
      </w:r>
      <w:r w:rsidRPr="00A86BD1">
        <w:t>Developing and implementing strategic plans for participating WROs representing the priorities of marginalized women and girls.</w:t>
      </w:r>
    </w:p>
    <w:p w14:paraId="2F640E65" w14:textId="77777777" w:rsidR="0020188D" w:rsidRPr="00A86BD1" w:rsidRDefault="0020188D" w:rsidP="00003787">
      <w:pPr>
        <w:pStyle w:val="ListParagraph"/>
        <w:numPr>
          <w:ilvl w:val="0"/>
          <w:numId w:val="12"/>
        </w:numPr>
        <w:jc w:val="both"/>
      </w:pPr>
      <w:r w:rsidRPr="00A86BD1">
        <w:rPr>
          <w:b/>
          <w:bCs/>
        </w:rPr>
        <w:lastRenderedPageBreak/>
        <w:t>Activity 2.1 (Repeat in numbering as per original text):</w:t>
      </w:r>
      <w:r w:rsidRPr="00A86BD1">
        <w:t xml:space="preserve"> Participation of WRO representatives in training, mentoring, and qualification programs on the WPS agenda and related advocacy and monitoring activities.</w:t>
      </w:r>
    </w:p>
    <w:p w14:paraId="2C8907BE" w14:textId="77777777" w:rsidR="0020188D" w:rsidRPr="00A86BD1" w:rsidRDefault="0020188D" w:rsidP="00003787">
      <w:pPr>
        <w:pStyle w:val="ListParagraph"/>
        <w:numPr>
          <w:ilvl w:val="0"/>
          <w:numId w:val="12"/>
        </w:numPr>
        <w:jc w:val="both"/>
      </w:pPr>
      <w:r w:rsidRPr="00A86BD1">
        <w:rPr>
          <w:b/>
          <w:bCs/>
        </w:rPr>
        <w:t xml:space="preserve">Activity 2.2: </w:t>
      </w:r>
      <w:r w:rsidRPr="00A86BD1">
        <w:t>Developing and implementing collective advocacy and monitoring plans for WROs to reinforce WPS agenda priorities with decision-makers at local and national levels.</w:t>
      </w:r>
    </w:p>
    <w:p w14:paraId="1FFACFB4" w14:textId="77777777" w:rsidR="0020188D" w:rsidRPr="00A86BD1" w:rsidRDefault="0020188D" w:rsidP="00003787">
      <w:pPr>
        <w:pStyle w:val="ListParagraph"/>
        <w:numPr>
          <w:ilvl w:val="0"/>
          <w:numId w:val="13"/>
        </w:numPr>
        <w:jc w:val="both"/>
      </w:pPr>
      <w:r w:rsidRPr="00A86BD1">
        <w:rPr>
          <w:b/>
          <w:bCs/>
        </w:rPr>
        <w:t>Activity 2.3:</w:t>
      </w:r>
      <w:r w:rsidRPr="00A86BD1">
        <w:t xml:space="preserve"> Engaging marginalized women and girls with decision-makers regarding their priorities related to the WPS agenda.</w:t>
      </w:r>
    </w:p>
    <w:p w14:paraId="73FEF166" w14:textId="77777777" w:rsidR="0020188D" w:rsidRPr="00A86BD1" w:rsidRDefault="0020188D" w:rsidP="00003787">
      <w:pPr>
        <w:pStyle w:val="ListParagraph"/>
        <w:numPr>
          <w:ilvl w:val="0"/>
          <w:numId w:val="14"/>
        </w:numPr>
        <w:jc w:val="both"/>
      </w:pPr>
      <w:r w:rsidRPr="00A86BD1">
        <w:rPr>
          <w:b/>
          <w:bCs/>
        </w:rPr>
        <w:t xml:space="preserve">Activity 3.1 </w:t>
      </w:r>
      <w:r w:rsidRPr="00A86BD1">
        <w:t>(Repeat): Documenting collective lessons learned on WPS priorities and sharing them with local and national networks.</w:t>
      </w:r>
    </w:p>
    <w:p w14:paraId="167FBB10" w14:textId="77777777" w:rsidR="0020188D" w:rsidRPr="00A86BD1" w:rsidRDefault="0020188D" w:rsidP="00003787">
      <w:pPr>
        <w:pStyle w:val="ListParagraph"/>
        <w:numPr>
          <w:ilvl w:val="0"/>
          <w:numId w:val="15"/>
        </w:numPr>
        <w:jc w:val="both"/>
      </w:pPr>
      <w:r w:rsidRPr="00A86BD1">
        <w:rPr>
          <w:b/>
          <w:bCs/>
        </w:rPr>
        <w:t xml:space="preserve">Activity 3.2: </w:t>
      </w:r>
      <w:r w:rsidRPr="00A86BD1">
        <w:t>Exchanging knowledge, experiences, and lessons learned on the WPS agenda among participating WROs across the three countries via multi-country networks.</w:t>
      </w:r>
    </w:p>
    <w:p w14:paraId="3D380298" w14:textId="77777777" w:rsidR="0020188D" w:rsidRPr="00A86BD1" w:rsidRDefault="0020188D" w:rsidP="00003787">
      <w:pPr>
        <w:pStyle w:val="ListParagraph"/>
        <w:numPr>
          <w:ilvl w:val="0"/>
          <w:numId w:val="15"/>
        </w:numPr>
        <w:jc w:val="both"/>
      </w:pPr>
      <w:r w:rsidRPr="00A86BD1">
        <w:rPr>
          <w:b/>
          <w:bCs/>
        </w:rPr>
        <w:t>Activity 3.3:</w:t>
      </w:r>
      <w:r w:rsidRPr="00A86BD1">
        <w:t xml:space="preserve"> Expanding the scope of participating WROs' initiatives using regional and global mechanisms affiliated with CARE.</w:t>
      </w:r>
    </w:p>
    <w:p w14:paraId="29404149" w14:textId="50DA110C" w:rsidR="0020188D" w:rsidRPr="00A86BD1" w:rsidRDefault="0020188D" w:rsidP="00003787">
      <w:pPr>
        <w:pStyle w:val="ListParagraph"/>
        <w:numPr>
          <w:ilvl w:val="0"/>
          <w:numId w:val="1"/>
        </w:numPr>
        <w:rPr>
          <w:b/>
          <w:bCs/>
          <w:sz w:val="28"/>
          <w:szCs w:val="28"/>
        </w:rPr>
      </w:pPr>
      <w:r w:rsidRPr="00A86BD1">
        <w:rPr>
          <w:b/>
          <w:bCs/>
          <w:sz w:val="28"/>
          <w:szCs w:val="28"/>
        </w:rPr>
        <w:t>Purpose, Objectives, and Use</w:t>
      </w:r>
    </w:p>
    <w:p w14:paraId="211565A3" w14:textId="77777777" w:rsidR="0020188D" w:rsidRPr="00A86BD1" w:rsidRDefault="0020188D" w:rsidP="00003787">
      <w:pPr>
        <w:pStyle w:val="ListParagraph"/>
        <w:numPr>
          <w:ilvl w:val="0"/>
          <w:numId w:val="16"/>
        </w:numPr>
        <w:rPr>
          <w:b/>
          <w:bCs/>
        </w:rPr>
      </w:pPr>
      <w:r w:rsidRPr="00A86BD1">
        <w:rPr>
          <w:b/>
          <w:bCs/>
        </w:rPr>
        <w:t>Purpose of the Final Evaluation:</w:t>
      </w:r>
    </w:p>
    <w:p w14:paraId="4CE8E911" w14:textId="77777777" w:rsidR="0020188D" w:rsidRPr="00A86BD1" w:rsidRDefault="0020188D" w:rsidP="00847A3E">
      <w:pPr>
        <w:ind w:left="360"/>
        <w:jc w:val="both"/>
      </w:pPr>
      <w:r w:rsidRPr="00A86BD1">
        <w:t>This evaluation comes as part of the project's natural life cycle to assess performance at the end of the implementation period in Egypt and extract lessons for future phases.</w:t>
      </w:r>
    </w:p>
    <w:p w14:paraId="1E421CA0" w14:textId="77777777" w:rsidR="0020188D" w:rsidRPr="00A86BD1" w:rsidRDefault="0020188D" w:rsidP="00847A3E">
      <w:pPr>
        <w:ind w:left="360"/>
        <w:jc w:val="both"/>
      </w:pPr>
      <w:r w:rsidRPr="00A86BD1">
        <w:t>The purpose extends beyond merely "closing the project file" or meeting donor requirements (BMZ). This evaluation represents a strategic milestone for accountability and learning, aimed at deciphering the change the project has created in the women's rights landscape in Egypt.</w:t>
      </w:r>
    </w:p>
    <w:p w14:paraId="6950EBBB" w14:textId="77777777" w:rsidR="0020188D" w:rsidRPr="00A86BD1" w:rsidRDefault="0020188D" w:rsidP="00847A3E">
      <w:pPr>
        <w:ind w:left="360"/>
        <w:jc w:val="both"/>
      </w:pPr>
      <w:r w:rsidRPr="00A86BD1">
        <w:t>We are looking for an evaluation that dives deep to understand "how" and "why" specific interventions succeeded in conservative environments (e.g., Assiut, Sohag) versus urban areas (e.g., Cairo, Giza), and how the socio-economic dynamics in Egypt (2022-2025) influenced the project's trajectory. The goal is to provide an evidence-based narrative on the Egyptian civil society's ability to adopt the "Women, Peace, and Security" agenda and translate it from theoretical concepts into applied practices.</w:t>
      </w:r>
    </w:p>
    <w:p w14:paraId="60705B52" w14:textId="77777777" w:rsidR="0020188D" w:rsidRPr="00A86BD1" w:rsidRDefault="0020188D" w:rsidP="00003787">
      <w:pPr>
        <w:pStyle w:val="ListParagraph"/>
        <w:numPr>
          <w:ilvl w:val="0"/>
          <w:numId w:val="17"/>
        </w:numPr>
        <w:rPr>
          <w:b/>
          <w:bCs/>
        </w:rPr>
      </w:pPr>
      <w:r w:rsidRPr="00A86BD1">
        <w:rPr>
          <w:b/>
          <w:bCs/>
        </w:rPr>
        <w:t>Specific Evaluation Objectives (M&amp;E Lens):</w:t>
      </w:r>
    </w:p>
    <w:p w14:paraId="516C3254" w14:textId="77777777" w:rsidR="0020188D" w:rsidRPr="00A86BD1" w:rsidRDefault="0020188D" w:rsidP="00003787">
      <w:pPr>
        <w:pStyle w:val="ListParagraph"/>
        <w:numPr>
          <w:ilvl w:val="0"/>
          <w:numId w:val="49"/>
        </w:numPr>
        <w:jc w:val="both"/>
      </w:pPr>
      <w:r w:rsidRPr="00A86BD1">
        <w:t>The consultant is expected to go beyond descriptive narration and achieve the following analytical objectives:</w:t>
      </w:r>
    </w:p>
    <w:p w14:paraId="3ED39CAE" w14:textId="77777777" w:rsidR="0020188D" w:rsidRPr="00A86BD1" w:rsidRDefault="0020188D" w:rsidP="00003787">
      <w:pPr>
        <w:pStyle w:val="ListParagraph"/>
        <w:numPr>
          <w:ilvl w:val="0"/>
          <w:numId w:val="49"/>
        </w:numPr>
        <w:jc w:val="both"/>
      </w:pPr>
      <w:r w:rsidRPr="00A86BD1">
        <w:t>Theory of Change Validation: Examining the hypotheses upon which the project was built; did "institutional empowerment" for partner organizations actually lead to "policy influence"? Or were there other pathways for change we did not observe?</w:t>
      </w:r>
    </w:p>
    <w:p w14:paraId="572E82B8" w14:textId="77777777" w:rsidR="0020188D" w:rsidRPr="00A86BD1" w:rsidRDefault="0020188D" w:rsidP="00003787">
      <w:pPr>
        <w:pStyle w:val="ListParagraph"/>
        <w:numPr>
          <w:ilvl w:val="0"/>
          <w:numId w:val="49"/>
        </w:numPr>
        <w:jc w:val="both"/>
      </w:pPr>
      <w:r w:rsidRPr="00A86BD1">
        <w:lastRenderedPageBreak/>
        <w:t>Impact Assessment (Attribution vs. Contribution): Identifying tangible changes in the lives of target groups (marginalized women) and in the organizational structures of partner associations, clearly distinguishing between direct results attributed exclusively to the project (Attribution) and those where the project played a contributing role alongside other factors (Contribution).</w:t>
      </w:r>
    </w:p>
    <w:p w14:paraId="2E59BFEF" w14:textId="77777777" w:rsidR="0020188D" w:rsidRPr="00A86BD1" w:rsidRDefault="0020188D" w:rsidP="00003787">
      <w:pPr>
        <w:pStyle w:val="ListParagraph"/>
        <w:numPr>
          <w:ilvl w:val="0"/>
          <w:numId w:val="49"/>
        </w:numPr>
        <w:jc w:val="both"/>
      </w:pPr>
      <w:r w:rsidRPr="00A86BD1">
        <w:t>Value for Money (</w:t>
      </w:r>
      <w:proofErr w:type="spellStart"/>
      <w:r w:rsidRPr="00A86BD1">
        <w:t>VfM</w:t>
      </w:r>
      <w:proofErr w:type="spellEnd"/>
      <w:r w:rsidRPr="00A86BD1">
        <w:t>): Assessing whether resources (time, effort, money) were invested optimally to achieve maximum development return amidst economic challenges.</w:t>
      </w:r>
    </w:p>
    <w:p w14:paraId="44250DAA" w14:textId="77777777" w:rsidR="0020188D" w:rsidRPr="00A86BD1" w:rsidRDefault="0020188D" w:rsidP="00003787">
      <w:pPr>
        <w:pStyle w:val="ListParagraph"/>
        <w:numPr>
          <w:ilvl w:val="0"/>
          <w:numId w:val="49"/>
        </w:numPr>
        <w:jc w:val="both"/>
      </w:pPr>
      <w:r w:rsidRPr="00A86BD1">
        <w:t>Sustainability Mapping: Assessing the solidity of networks and alliances built; do partner organizations in Egypt now possess full "ownership" of tools and knowledge to continue the struggle for women's rights without direct external support?</w:t>
      </w:r>
    </w:p>
    <w:p w14:paraId="5C8A046E" w14:textId="77777777" w:rsidR="0020188D" w:rsidRPr="00A86BD1" w:rsidRDefault="0020188D" w:rsidP="00003787">
      <w:pPr>
        <w:pStyle w:val="ListParagraph"/>
        <w:numPr>
          <w:ilvl w:val="0"/>
          <w:numId w:val="18"/>
        </w:numPr>
        <w:rPr>
          <w:b/>
          <w:bCs/>
        </w:rPr>
      </w:pPr>
      <w:r w:rsidRPr="00A86BD1">
        <w:rPr>
          <w:b/>
          <w:bCs/>
        </w:rPr>
        <w:t>Target Audience:</w:t>
      </w:r>
    </w:p>
    <w:p w14:paraId="58B14FEB" w14:textId="709CDE95" w:rsidR="0020188D" w:rsidRPr="00A86BD1" w:rsidRDefault="0020188D" w:rsidP="00AB2CF4">
      <w:pPr>
        <w:ind w:left="360"/>
      </w:pPr>
      <w:r w:rsidRPr="00A86BD1">
        <w:t>The results and procedures of this learning study/evaluation will be shared with relevant stakeholders, including CARE Germany, CARE Iraq, CARE South Sudan, CARE Egypt, and all participating WROs. These results will be employed to enrich the project itself, enhance its effectiveness, and disseminate learning materials across the three countries.</w:t>
      </w:r>
    </w:p>
    <w:p w14:paraId="2553DC7D" w14:textId="771095D8" w:rsidR="0020188D" w:rsidRPr="00A86BD1" w:rsidRDefault="0020188D" w:rsidP="00003787">
      <w:pPr>
        <w:pStyle w:val="ListParagraph"/>
        <w:numPr>
          <w:ilvl w:val="0"/>
          <w:numId w:val="1"/>
        </w:numPr>
        <w:rPr>
          <w:b/>
          <w:bCs/>
          <w:sz w:val="28"/>
          <w:szCs w:val="28"/>
        </w:rPr>
      </w:pPr>
      <w:r w:rsidRPr="00A86BD1">
        <w:rPr>
          <w:b/>
          <w:bCs/>
          <w:sz w:val="28"/>
          <w:szCs w:val="28"/>
        </w:rPr>
        <w:t>Scope of Work</w:t>
      </w:r>
    </w:p>
    <w:p w14:paraId="1D3E7364" w14:textId="77777777" w:rsidR="0020188D" w:rsidRPr="00A86BD1" w:rsidRDefault="0020188D" w:rsidP="0056662A">
      <w:pPr>
        <w:ind w:left="360"/>
      </w:pPr>
      <w:r w:rsidRPr="00A86BD1">
        <w:t>Time Frame: Covers the implementation period from July 2022 to December 2025.</w:t>
      </w:r>
    </w:p>
    <w:p w14:paraId="7FDD7DD8" w14:textId="77777777" w:rsidR="0020188D" w:rsidRPr="00A86BD1" w:rsidRDefault="0020188D" w:rsidP="0056662A">
      <w:pPr>
        <w:ind w:left="360"/>
      </w:pPr>
      <w:r w:rsidRPr="00A86BD1">
        <w:t>Geographic Scope: Cairo, Giza, Qalyubia, Assiut, and Sohag.</w:t>
      </w:r>
    </w:p>
    <w:p w14:paraId="6F31C259" w14:textId="77777777" w:rsidR="0020188D" w:rsidRPr="00A86BD1" w:rsidRDefault="0020188D" w:rsidP="00003787">
      <w:pPr>
        <w:pStyle w:val="ListParagraph"/>
        <w:numPr>
          <w:ilvl w:val="0"/>
          <w:numId w:val="19"/>
        </w:numPr>
        <w:rPr>
          <w:b/>
          <w:bCs/>
        </w:rPr>
      </w:pPr>
      <w:r w:rsidRPr="00A86BD1">
        <w:rPr>
          <w:b/>
          <w:bCs/>
        </w:rPr>
        <w:t>Key Participants Table:</w:t>
      </w:r>
    </w:p>
    <w:tbl>
      <w:tblPr>
        <w:tblStyle w:val="TableGrid"/>
        <w:tblW w:w="0" w:type="auto"/>
        <w:jc w:val="center"/>
        <w:tblLook w:val="04A0" w:firstRow="1" w:lastRow="0" w:firstColumn="1" w:lastColumn="0" w:noHBand="0" w:noVBand="1"/>
      </w:tblPr>
      <w:tblGrid>
        <w:gridCol w:w="2010"/>
        <w:gridCol w:w="3071"/>
        <w:gridCol w:w="2091"/>
        <w:gridCol w:w="2178"/>
      </w:tblGrid>
      <w:tr w:rsidR="00CC13EC" w:rsidRPr="00A86BD1" w14:paraId="7A246D6C" w14:textId="77777777" w:rsidTr="0009379A">
        <w:trPr>
          <w:jc w:val="center"/>
        </w:trPr>
        <w:tc>
          <w:tcPr>
            <w:tcW w:w="1975" w:type="dxa"/>
            <w:vAlign w:val="center"/>
            <w:hideMark/>
          </w:tcPr>
          <w:p w14:paraId="579867CD" w14:textId="77777777" w:rsidR="00CC13EC" w:rsidRPr="00A86BD1" w:rsidRDefault="00CC13EC" w:rsidP="00CC13EC">
            <w:pPr>
              <w:spacing w:after="160" w:line="278" w:lineRule="auto"/>
              <w:ind w:left="360"/>
              <w:jc w:val="center"/>
              <w:rPr>
                <w:b/>
                <w:bCs/>
              </w:rPr>
            </w:pPr>
            <w:r w:rsidRPr="00A86BD1">
              <w:rPr>
                <w:b/>
                <w:bCs/>
              </w:rPr>
              <w:t>Key Participants</w:t>
            </w:r>
          </w:p>
        </w:tc>
        <w:tc>
          <w:tcPr>
            <w:tcW w:w="3071" w:type="dxa"/>
            <w:vAlign w:val="center"/>
            <w:hideMark/>
          </w:tcPr>
          <w:p w14:paraId="0CD314B1" w14:textId="77777777" w:rsidR="00CC13EC" w:rsidRPr="00A86BD1" w:rsidRDefault="00CC13EC" w:rsidP="00CC13EC">
            <w:pPr>
              <w:spacing w:after="160" w:line="278" w:lineRule="auto"/>
              <w:ind w:left="360"/>
              <w:jc w:val="center"/>
              <w:rPr>
                <w:b/>
                <w:bCs/>
              </w:rPr>
            </w:pPr>
            <w:r w:rsidRPr="00A86BD1">
              <w:rPr>
                <w:b/>
                <w:bCs/>
              </w:rPr>
              <w:t>Target Category</w:t>
            </w:r>
          </w:p>
        </w:tc>
        <w:tc>
          <w:tcPr>
            <w:tcW w:w="0" w:type="auto"/>
            <w:vAlign w:val="center"/>
            <w:hideMark/>
          </w:tcPr>
          <w:p w14:paraId="18CD8F63" w14:textId="77777777" w:rsidR="00CC13EC" w:rsidRPr="00A86BD1" w:rsidRDefault="00CC13EC" w:rsidP="00CC13EC">
            <w:pPr>
              <w:spacing w:after="160" w:line="278" w:lineRule="auto"/>
              <w:ind w:left="360"/>
              <w:jc w:val="center"/>
              <w:rPr>
                <w:b/>
                <w:bCs/>
              </w:rPr>
            </w:pPr>
            <w:r w:rsidRPr="00A86BD1">
              <w:rPr>
                <w:b/>
                <w:bCs/>
              </w:rPr>
              <w:t>Direct Participants</w:t>
            </w:r>
          </w:p>
        </w:tc>
        <w:tc>
          <w:tcPr>
            <w:tcW w:w="0" w:type="auto"/>
            <w:vAlign w:val="center"/>
            <w:hideMark/>
          </w:tcPr>
          <w:p w14:paraId="21028E93" w14:textId="77777777" w:rsidR="00CC13EC" w:rsidRPr="00A86BD1" w:rsidRDefault="00CC13EC" w:rsidP="00CC13EC">
            <w:pPr>
              <w:spacing w:after="160" w:line="278" w:lineRule="auto"/>
              <w:ind w:left="360"/>
              <w:jc w:val="center"/>
              <w:rPr>
                <w:b/>
                <w:bCs/>
              </w:rPr>
            </w:pPr>
            <w:r w:rsidRPr="00A86BD1">
              <w:rPr>
                <w:b/>
                <w:bCs/>
              </w:rPr>
              <w:t>Indirect Participants</w:t>
            </w:r>
          </w:p>
        </w:tc>
      </w:tr>
      <w:tr w:rsidR="00CC13EC" w:rsidRPr="00A86BD1" w14:paraId="79CBF4DC" w14:textId="77777777" w:rsidTr="0009379A">
        <w:trPr>
          <w:trHeight w:val="908"/>
          <w:jc w:val="center"/>
        </w:trPr>
        <w:tc>
          <w:tcPr>
            <w:tcW w:w="1975" w:type="dxa"/>
            <w:vAlign w:val="center"/>
            <w:hideMark/>
          </w:tcPr>
          <w:p w14:paraId="6286C823" w14:textId="77777777" w:rsidR="00CC13EC" w:rsidRPr="00A86BD1" w:rsidRDefault="00CC13EC" w:rsidP="0009379A">
            <w:pPr>
              <w:spacing w:after="160" w:line="278" w:lineRule="auto"/>
              <w:ind w:left="360"/>
              <w:jc w:val="center"/>
            </w:pPr>
            <w:r w:rsidRPr="00A86BD1">
              <w:t>WROs (Implementing Partners)</w:t>
            </w:r>
          </w:p>
        </w:tc>
        <w:tc>
          <w:tcPr>
            <w:tcW w:w="3071" w:type="dxa"/>
            <w:vAlign w:val="center"/>
            <w:hideMark/>
          </w:tcPr>
          <w:p w14:paraId="67B8C2F3" w14:textId="77777777" w:rsidR="00CC13EC" w:rsidRPr="00A86BD1" w:rsidRDefault="00CC13EC" w:rsidP="0009379A">
            <w:pPr>
              <w:spacing w:after="160" w:line="278" w:lineRule="auto"/>
              <w:ind w:left="360"/>
              <w:jc w:val="center"/>
            </w:pPr>
            <w:r w:rsidRPr="00A86BD1">
              <w:t>Target Group</w:t>
            </w:r>
          </w:p>
        </w:tc>
        <w:tc>
          <w:tcPr>
            <w:tcW w:w="0" w:type="auto"/>
            <w:vAlign w:val="center"/>
            <w:hideMark/>
          </w:tcPr>
          <w:p w14:paraId="361BD51F" w14:textId="77777777" w:rsidR="00CC13EC" w:rsidRPr="00A86BD1" w:rsidRDefault="00CC13EC" w:rsidP="0009379A">
            <w:pPr>
              <w:spacing w:after="160" w:line="278" w:lineRule="auto"/>
              <w:ind w:left="360"/>
              <w:jc w:val="center"/>
            </w:pPr>
            <w:r w:rsidRPr="00A86BD1">
              <w:t>1</w:t>
            </w:r>
          </w:p>
        </w:tc>
        <w:tc>
          <w:tcPr>
            <w:tcW w:w="0" w:type="auto"/>
            <w:vAlign w:val="center"/>
            <w:hideMark/>
          </w:tcPr>
          <w:p w14:paraId="64CBCEDE" w14:textId="77777777" w:rsidR="00CC13EC" w:rsidRPr="00A86BD1" w:rsidRDefault="00CC13EC" w:rsidP="0009379A">
            <w:pPr>
              <w:spacing w:after="160" w:line="278" w:lineRule="auto"/>
              <w:ind w:left="360"/>
              <w:jc w:val="center"/>
            </w:pPr>
            <w:r w:rsidRPr="00A86BD1">
              <w:t>-</w:t>
            </w:r>
          </w:p>
        </w:tc>
      </w:tr>
      <w:tr w:rsidR="00CC13EC" w:rsidRPr="00A86BD1" w14:paraId="3DFAB78A" w14:textId="77777777" w:rsidTr="0009379A">
        <w:trPr>
          <w:jc w:val="center"/>
        </w:trPr>
        <w:tc>
          <w:tcPr>
            <w:tcW w:w="1975" w:type="dxa"/>
            <w:vAlign w:val="center"/>
            <w:hideMark/>
          </w:tcPr>
          <w:p w14:paraId="207D9070" w14:textId="77777777" w:rsidR="00CC13EC" w:rsidRPr="00A86BD1" w:rsidRDefault="00CC13EC" w:rsidP="0009379A">
            <w:pPr>
              <w:spacing w:after="160" w:line="278" w:lineRule="auto"/>
              <w:ind w:left="360"/>
              <w:jc w:val="center"/>
            </w:pPr>
            <w:r w:rsidRPr="00A86BD1">
              <w:t>WROs (Targeted)</w:t>
            </w:r>
          </w:p>
        </w:tc>
        <w:tc>
          <w:tcPr>
            <w:tcW w:w="3071" w:type="dxa"/>
            <w:vAlign w:val="center"/>
            <w:hideMark/>
          </w:tcPr>
          <w:p w14:paraId="0C1ADD8D" w14:textId="77777777" w:rsidR="00CC13EC" w:rsidRPr="00A86BD1" w:rsidRDefault="00CC13EC" w:rsidP="0009379A">
            <w:pPr>
              <w:spacing w:after="160" w:line="278" w:lineRule="auto"/>
              <w:ind w:left="360"/>
              <w:jc w:val="center"/>
            </w:pPr>
            <w:r w:rsidRPr="00A86BD1">
              <w:t>Target Group</w:t>
            </w:r>
          </w:p>
        </w:tc>
        <w:tc>
          <w:tcPr>
            <w:tcW w:w="0" w:type="auto"/>
            <w:vAlign w:val="center"/>
            <w:hideMark/>
          </w:tcPr>
          <w:p w14:paraId="7DB21AEC" w14:textId="77777777" w:rsidR="00CC13EC" w:rsidRPr="00A86BD1" w:rsidRDefault="00CC13EC" w:rsidP="0009379A">
            <w:pPr>
              <w:spacing w:after="160" w:line="278" w:lineRule="auto"/>
              <w:ind w:left="360"/>
              <w:jc w:val="center"/>
            </w:pPr>
            <w:r w:rsidRPr="00A86BD1">
              <w:t>10</w:t>
            </w:r>
          </w:p>
        </w:tc>
        <w:tc>
          <w:tcPr>
            <w:tcW w:w="0" w:type="auto"/>
            <w:vAlign w:val="center"/>
            <w:hideMark/>
          </w:tcPr>
          <w:p w14:paraId="34BFD27C" w14:textId="77777777" w:rsidR="00CC13EC" w:rsidRPr="00A86BD1" w:rsidRDefault="00CC13EC" w:rsidP="0009379A">
            <w:pPr>
              <w:spacing w:after="160" w:line="278" w:lineRule="auto"/>
              <w:ind w:left="360"/>
              <w:jc w:val="center"/>
            </w:pPr>
            <w:r w:rsidRPr="00A86BD1">
              <w:t>-</w:t>
            </w:r>
          </w:p>
        </w:tc>
      </w:tr>
      <w:tr w:rsidR="00CC13EC" w:rsidRPr="00A86BD1" w14:paraId="14591ED8" w14:textId="77777777" w:rsidTr="0009379A">
        <w:trPr>
          <w:jc w:val="center"/>
        </w:trPr>
        <w:tc>
          <w:tcPr>
            <w:tcW w:w="1975" w:type="dxa"/>
            <w:vAlign w:val="center"/>
            <w:hideMark/>
          </w:tcPr>
          <w:p w14:paraId="565FF077" w14:textId="77777777" w:rsidR="00CC13EC" w:rsidRPr="00A86BD1" w:rsidRDefault="00CC13EC" w:rsidP="0009379A">
            <w:pPr>
              <w:spacing w:after="160" w:line="278" w:lineRule="auto"/>
              <w:ind w:left="360"/>
              <w:jc w:val="center"/>
            </w:pPr>
            <w:r w:rsidRPr="00A86BD1">
              <w:t>WRO Staff</w:t>
            </w:r>
          </w:p>
        </w:tc>
        <w:tc>
          <w:tcPr>
            <w:tcW w:w="3071" w:type="dxa"/>
            <w:vAlign w:val="center"/>
            <w:hideMark/>
          </w:tcPr>
          <w:p w14:paraId="3998DC13" w14:textId="77777777" w:rsidR="00CC13EC" w:rsidRPr="00A86BD1" w:rsidRDefault="00CC13EC" w:rsidP="0009379A">
            <w:pPr>
              <w:spacing w:after="160" w:line="278" w:lineRule="auto"/>
              <w:ind w:left="360"/>
              <w:jc w:val="center"/>
            </w:pPr>
            <w:r w:rsidRPr="00A86BD1">
              <w:t>Target Group</w:t>
            </w:r>
          </w:p>
        </w:tc>
        <w:tc>
          <w:tcPr>
            <w:tcW w:w="0" w:type="auto"/>
            <w:vAlign w:val="center"/>
            <w:hideMark/>
          </w:tcPr>
          <w:p w14:paraId="383F8C62" w14:textId="77777777" w:rsidR="00CC13EC" w:rsidRPr="00A86BD1" w:rsidRDefault="00CC13EC" w:rsidP="0009379A">
            <w:pPr>
              <w:spacing w:after="160" w:line="278" w:lineRule="auto"/>
              <w:ind w:left="360"/>
              <w:jc w:val="center"/>
            </w:pPr>
            <w:r w:rsidRPr="00A86BD1">
              <w:t>52</w:t>
            </w:r>
          </w:p>
        </w:tc>
        <w:tc>
          <w:tcPr>
            <w:tcW w:w="0" w:type="auto"/>
            <w:vAlign w:val="center"/>
            <w:hideMark/>
          </w:tcPr>
          <w:p w14:paraId="78F97061" w14:textId="77777777" w:rsidR="00CC13EC" w:rsidRPr="00A86BD1" w:rsidRDefault="00CC13EC" w:rsidP="0009379A">
            <w:pPr>
              <w:spacing w:after="160" w:line="278" w:lineRule="auto"/>
              <w:ind w:left="360"/>
              <w:jc w:val="center"/>
            </w:pPr>
            <w:r w:rsidRPr="00A86BD1">
              <w:t>-</w:t>
            </w:r>
          </w:p>
        </w:tc>
      </w:tr>
      <w:tr w:rsidR="00CC13EC" w:rsidRPr="00A86BD1" w14:paraId="102456D6" w14:textId="77777777" w:rsidTr="0009379A">
        <w:trPr>
          <w:jc w:val="center"/>
        </w:trPr>
        <w:tc>
          <w:tcPr>
            <w:tcW w:w="1975" w:type="dxa"/>
            <w:vAlign w:val="center"/>
            <w:hideMark/>
          </w:tcPr>
          <w:p w14:paraId="3A0103A2" w14:textId="77777777" w:rsidR="00CC13EC" w:rsidRPr="00A86BD1" w:rsidRDefault="00CC13EC" w:rsidP="0009379A">
            <w:pPr>
              <w:spacing w:after="160" w:line="278" w:lineRule="auto"/>
              <w:ind w:left="360"/>
              <w:jc w:val="center"/>
            </w:pPr>
            <w:r w:rsidRPr="00A86BD1">
              <w:t>Marginalized Women &amp; Girls</w:t>
            </w:r>
          </w:p>
        </w:tc>
        <w:tc>
          <w:tcPr>
            <w:tcW w:w="3071" w:type="dxa"/>
            <w:vAlign w:val="center"/>
            <w:hideMark/>
          </w:tcPr>
          <w:p w14:paraId="53F53C69" w14:textId="77777777" w:rsidR="00CC13EC" w:rsidRPr="00A86BD1" w:rsidRDefault="00CC13EC" w:rsidP="0009379A">
            <w:pPr>
              <w:spacing w:after="160" w:line="278" w:lineRule="auto"/>
              <w:ind w:left="360"/>
              <w:jc w:val="center"/>
            </w:pPr>
            <w:r w:rsidRPr="00A86BD1">
              <w:t>Target/Impact Group</w:t>
            </w:r>
          </w:p>
        </w:tc>
        <w:tc>
          <w:tcPr>
            <w:tcW w:w="0" w:type="auto"/>
            <w:vAlign w:val="center"/>
            <w:hideMark/>
          </w:tcPr>
          <w:p w14:paraId="021B6AD4" w14:textId="77777777" w:rsidR="00CC13EC" w:rsidRPr="00A86BD1" w:rsidRDefault="00CC13EC" w:rsidP="0009379A">
            <w:pPr>
              <w:spacing w:after="160" w:line="278" w:lineRule="auto"/>
              <w:ind w:left="360"/>
              <w:jc w:val="center"/>
            </w:pPr>
            <w:r w:rsidRPr="00A86BD1">
              <w:t>500</w:t>
            </w:r>
          </w:p>
        </w:tc>
        <w:tc>
          <w:tcPr>
            <w:tcW w:w="0" w:type="auto"/>
            <w:vAlign w:val="center"/>
            <w:hideMark/>
          </w:tcPr>
          <w:p w14:paraId="70DE02F5" w14:textId="77777777" w:rsidR="00CC13EC" w:rsidRPr="00A86BD1" w:rsidRDefault="00CC13EC" w:rsidP="0009379A">
            <w:pPr>
              <w:spacing w:after="160" w:line="278" w:lineRule="auto"/>
              <w:ind w:left="360"/>
              <w:jc w:val="center"/>
            </w:pPr>
            <w:r w:rsidRPr="00A86BD1">
              <w:t>5,000</w:t>
            </w:r>
          </w:p>
        </w:tc>
      </w:tr>
      <w:tr w:rsidR="00CC13EC" w:rsidRPr="00A86BD1" w14:paraId="5F87F649" w14:textId="77777777" w:rsidTr="0009379A">
        <w:trPr>
          <w:jc w:val="center"/>
        </w:trPr>
        <w:tc>
          <w:tcPr>
            <w:tcW w:w="1975" w:type="dxa"/>
            <w:vAlign w:val="center"/>
            <w:hideMark/>
          </w:tcPr>
          <w:p w14:paraId="5D241473" w14:textId="77777777" w:rsidR="00CC13EC" w:rsidRPr="00A86BD1" w:rsidRDefault="00CC13EC" w:rsidP="00CC13EC">
            <w:pPr>
              <w:spacing w:after="160" w:line="278" w:lineRule="auto"/>
              <w:ind w:left="360"/>
              <w:jc w:val="center"/>
            </w:pPr>
            <w:r w:rsidRPr="00A86BD1">
              <w:lastRenderedPageBreak/>
              <w:t>Decision Makers</w:t>
            </w:r>
          </w:p>
        </w:tc>
        <w:tc>
          <w:tcPr>
            <w:tcW w:w="3071" w:type="dxa"/>
            <w:vAlign w:val="center"/>
            <w:hideMark/>
          </w:tcPr>
          <w:p w14:paraId="4C316F45" w14:textId="77777777" w:rsidR="00CC13EC" w:rsidRPr="00A86BD1" w:rsidRDefault="00CC13EC" w:rsidP="00CC13EC">
            <w:pPr>
              <w:spacing w:after="160" w:line="278" w:lineRule="auto"/>
              <w:ind w:left="360"/>
              <w:jc w:val="center"/>
            </w:pPr>
            <w:r w:rsidRPr="00A86BD1">
              <w:t>Target Group</w:t>
            </w:r>
          </w:p>
        </w:tc>
        <w:tc>
          <w:tcPr>
            <w:tcW w:w="0" w:type="auto"/>
            <w:vAlign w:val="center"/>
            <w:hideMark/>
          </w:tcPr>
          <w:p w14:paraId="1F868EB3" w14:textId="77777777" w:rsidR="00CC13EC" w:rsidRPr="00A86BD1" w:rsidRDefault="00CC13EC" w:rsidP="00CC13EC">
            <w:pPr>
              <w:spacing w:after="160" w:line="278" w:lineRule="auto"/>
              <w:ind w:left="360"/>
              <w:jc w:val="center"/>
            </w:pPr>
            <w:r w:rsidRPr="00A86BD1">
              <w:t>30</w:t>
            </w:r>
          </w:p>
        </w:tc>
        <w:tc>
          <w:tcPr>
            <w:tcW w:w="0" w:type="auto"/>
            <w:vAlign w:val="center"/>
            <w:hideMark/>
          </w:tcPr>
          <w:p w14:paraId="081D1A55" w14:textId="77777777" w:rsidR="00CC13EC" w:rsidRPr="00A86BD1" w:rsidRDefault="00CC13EC" w:rsidP="00CC13EC">
            <w:pPr>
              <w:spacing w:after="160" w:line="278" w:lineRule="auto"/>
              <w:ind w:left="360"/>
              <w:jc w:val="center"/>
            </w:pPr>
            <w:r w:rsidRPr="00A86BD1">
              <w:t>-</w:t>
            </w:r>
          </w:p>
        </w:tc>
      </w:tr>
    </w:tbl>
    <w:p w14:paraId="61B3CB72" w14:textId="77777777" w:rsidR="001214EB" w:rsidRPr="00A86BD1" w:rsidRDefault="001214EB" w:rsidP="001214EB"/>
    <w:p w14:paraId="2EB0EFE2" w14:textId="0FE1BA46" w:rsidR="0020188D" w:rsidRPr="00A86BD1" w:rsidRDefault="0020188D" w:rsidP="00003787">
      <w:pPr>
        <w:pStyle w:val="ListParagraph"/>
        <w:numPr>
          <w:ilvl w:val="0"/>
          <w:numId w:val="20"/>
        </w:numPr>
        <w:rPr>
          <w:b/>
          <w:bCs/>
        </w:rPr>
      </w:pPr>
      <w:r w:rsidRPr="00A86BD1">
        <w:rPr>
          <w:b/>
          <w:bCs/>
        </w:rPr>
        <w:t>Evaluation Framework &amp; Key Questions (OECD/DAC Criteria):</w:t>
      </w:r>
    </w:p>
    <w:p w14:paraId="54EF7C1B" w14:textId="77777777" w:rsidR="0020188D" w:rsidRPr="00A86BD1" w:rsidRDefault="0020188D" w:rsidP="00637EFB">
      <w:r w:rsidRPr="00A86BD1">
        <w:t>The evaluation must be based on international standards but tailored to the Egyptian context:</w:t>
      </w:r>
    </w:p>
    <w:p w14:paraId="0278EAD5" w14:textId="77777777" w:rsidR="0020188D" w:rsidRPr="00A86BD1" w:rsidRDefault="0020188D" w:rsidP="00003787">
      <w:pPr>
        <w:pStyle w:val="ListParagraph"/>
        <w:numPr>
          <w:ilvl w:val="0"/>
          <w:numId w:val="21"/>
        </w:numPr>
        <w:rPr>
          <w:b/>
          <w:bCs/>
        </w:rPr>
      </w:pPr>
      <w:r w:rsidRPr="00A86BD1">
        <w:rPr>
          <w:b/>
          <w:bCs/>
        </w:rPr>
        <w:t>Relevance:</w:t>
      </w:r>
    </w:p>
    <w:p w14:paraId="73D5AABE" w14:textId="7218E66F" w:rsidR="0020188D" w:rsidRPr="00A86BD1" w:rsidRDefault="0020188D" w:rsidP="00003787">
      <w:pPr>
        <w:pStyle w:val="ListParagraph"/>
        <w:numPr>
          <w:ilvl w:val="0"/>
          <w:numId w:val="22"/>
        </w:numPr>
      </w:pPr>
      <w:r w:rsidRPr="00A86BD1">
        <w:t>To what extent were project interventions adaptive to socio-economic context changes in Egypt during the implementation period?</w:t>
      </w:r>
    </w:p>
    <w:p w14:paraId="67043229" w14:textId="7AF73AA4" w:rsidR="0020188D" w:rsidRPr="00A86BD1" w:rsidRDefault="0020188D" w:rsidP="00003787">
      <w:pPr>
        <w:pStyle w:val="ListParagraph"/>
        <w:numPr>
          <w:ilvl w:val="0"/>
          <w:numId w:val="22"/>
        </w:numPr>
      </w:pPr>
      <w:r w:rsidRPr="00A86BD1">
        <w:t>Did the "Women, Peace, and Security" strategies align with the actual priorities of women in rural and marginalized areas in Egypt, or were they elite concepts?</w:t>
      </w:r>
    </w:p>
    <w:p w14:paraId="27053878" w14:textId="77777777" w:rsidR="0020188D" w:rsidRPr="00A86BD1" w:rsidRDefault="0020188D" w:rsidP="00003787">
      <w:pPr>
        <w:pStyle w:val="ListParagraph"/>
        <w:numPr>
          <w:ilvl w:val="0"/>
          <w:numId w:val="23"/>
        </w:numPr>
        <w:rPr>
          <w:b/>
          <w:bCs/>
        </w:rPr>
      </w:pPr>
      <w:r w:rsidRPr="00A86BD1">
        <w:rPr>
          <w:b/>
          <w:bCs/>
        </w:rPr>
        <w:t>Effectiveness:</w:t>
      </w:r>
    </w:p>
    <w:p w14:paraId="0E542AD0" w14:textId="3D9F45B2" w:rsidR="0020188D" w:rsidRPr="00A86BD1" w:rsidRDefault="0020188D" w:rsidP="00003787">
      <w:pPr>
        <w:pStyle w:val="ListParagraph"/>
        <w:numPr>
          <w:ilvl w:val="0"/>
          <w:numId w:val="22"/>
        </w:numPr>
      </w:pPr>
      <w:r w:rsidRPr="00A86BD1">
        <w:t>Institutional: How did the Performance Curve of the 11 partner organizations evolve? (Pre/post measurement tools must be used).</w:t>
      </w:r>
    </w:p>
    <w:p w14:paraId="4DFB3186" w14:textId="47FF30E8" w:rsidR="0020188D" w:rsidRPr="00A86BD1" w:rsidRDefault="0020188D" w:rsidP="00003787">
      <w:pPr>
        <w:pStyle w:val="ListParagraph"/>
        <w:numPr>
          <w:ilvl w:val="0"/>
          <w:numId w:val="22"/>
        </w:numPr>
      </w:pPr>
      <w:r w:rsidRPr="00A86BD1">
        <w:t>Advocacy: What were the "Quick Wins" and "Strategic Victories" achieved by these organizations in influencing local decision-makers (local councils, social units)?</w:t>
      </w:r>
    </w:p>
    <w:p w14:paraId="38A7B1DB" w14:textId="77777777" w:rsidR="0020188D" w:rsidRPr="00A86BD1" w:rsidRDefault="0020188D" w:rsidP="00003787">
      <w:pPr>
        <w:pStyle w:val="ListParagraph"/>
        <w:numPr>
          <w:ilvl w:val="0"/>
          <w:numId w:val="24"/>
        </w:numPr>
        <w:rPr>
          <w:b/>
          <w:bCs/>
        </w:rPr>
      </w:pPr>
      <w:r w:rsidRPr="00A86BD1">
        <w:rPr>
          <w:b/>
          <w:bCs/>
        </w:rPr>
        <w:t>Efficiency:</w:t>
      </w:r>
    </w:p>
    <w:p w14:paraId="145EDFAD" w14:textId="429F0A0C" w:rsidR="0020188D" w:rsidRPr="00A86BD1" w:rsidRDefault="0020188D" w:rsidP="00003787">
      <w:pPr>
        <w:pStyle w:val="ListParagraph"/>
        <w:numPr>
          <w:ilvl w:val="0"/>
          <w:numId w:val="22"/>
        </w:numPr>
      </w:pPr>
      <w:r w:rsidRPr="00A86BD1">
        <w:t>How did the project manage coordination between the strategic partner (ACT) and grassroots associations? Was this operational model the most efficient?</w:t>
      </w:r>
    </w:p>
    <w:p w14:paraId="16B79D68" w14:textId="2F9F010D" w:rsidR="0020188D" w:rsidRPr="00A86BD1" w:rsidRDefault="0020188D" w:rsidP="00003787">
      <w:pPr>
        <w:pStyle w:val="ListParagraph"/>
        <w:numPr>
          <w:ilvl w:val="0"/>
          <w:numId w:val="22"/>
        </w:numPr>
      </w:pPr>
      <w:r w:rsidRPr="00A86BD1">
        <w:t>Were human and technical resources utilized to avoid duplication of efforts with other similar projects in Egypt?</w:t>
      </w:r>
    </w:p>
    <w:p w14:paraId="1D1E630B" w14:textId="77777777" w:rsidR="0020188D" w:rsidRPr="00A86BD1" w:rsidRDefault="0020188D" w:rsidP="00003787">
      <w:pPr>
        <w:pStyle w:val="ListParagraph"/>
        <w:numPr>
          <w:ilvl w:val="0"/>
          <w:numId w:val="25"/>
        </w:numPr>
        <w:rPr>
          <w:b/>
          <w:bCs/>
        </w:rPr>
      </w:pPr>
      <w:r w:rsidRPr="00A86BD1">
        <w:rPr>
          <w:b/>
          <w:bCs/>
        </w:rPr>
        <w:t>Impact:</w:t>
      </w:r>
    </w:p>
    <w:p w14:paraId="31CA62AE" w14:textId="0931228B" w:rsidR="0020188D" w:rsidRPr="00A86BD1" w:rsidRDefault="0020188D" w:rsidP="00003787">
      <w:pPr>
        <w:pStyle w:val="ListParagraph"/>
        <w:numPr>
          <w:ilvl w:val="0"/>
          <w:numId w:val="22"/>
        </w:numPr>
      </w:pPr>
      <w:r w:rsidRPr="00A86BD1">
        <w:t>What are the "Most Significant Change" (MSC) stories narrated by women and girls that reflect a shift in societal perception of their roles?</w:t>
      </w:r>
    </w:p>
    <w:p w14:paraId="3C388434" w14:textId="31373DA3" w:rsidR="0020188D" w:rsidRPr="00A86BD1" w:rsidRDefault="0020188D" w:rsidP="00003787">
      <w:pPr>
        <w:pStyle w:val="ListParagraph"/>
        <w:numPr>
          <w:ilvl w:val="0"/>
          <w:numId w:val="22"/>
        </w:numPr>
      </w:pPr>
      <w:r w:rsidRPr="00A86BD1">
        <w:t>Did any "unintended results" (positive or negative) arise as a result of project interventions in conservative communities?</w:t>
      </w:r>
    </w:p>
    <w:p w14:paraId="5F34944F" w14:textId="77777777" w:rsidR="0020188D" w:rsidRPr="00A86BD1" w:rsidRDefault="0020188D" w:rsidP="00003787">
      <w:pPr>
        <w:pStyle w:val="ListParagraph"/>
        <w:numPr>
          <w:ilvl w:val="0"/>
          <w:numId w:val="26"/>
        </w:numPr>
        <w:rPr>
          <w:b/>
          <w:bCs/>
        </w:rPr>
      </w:pPr>
      <w:r w:rsidRPr="00A86BD1">
        <w:rPr>
          <w:b/>
          <w:bCs/>
        </w:rPr>
        <w:t>Sustainability:</w:t>
      </w:r>
    </w:p>
    <w:p w14:paraId="7F2A773B" w14:textId="1DCB1A4B" w:rsidR="0020188D" w:rsidRPr="00A86BD1" w:rsidRDefault="0020188D" w:rsidP="00003787">
      <w:pPr>
        <w:pStyle w:val="ListParagraph"/>
        <w:numPr>
          <w:ilvl w:val="0"/>
          <w:numId w:val="22"/>
        </w:numPr>
      </w:pPr>
      <w:r w:rsidRPr="00A86BD1">
        <w:t>Have project methodologies been integrated into the "institutional memory" and periodic work plans of partner organizations?</w:t>
      </w:r>
    </w:p>
    <w:p w14:paraId="1B2D1F27" w14:textId="54062895" w:rsidR="0020188D" w:rsidRPr="00A86BD1" w:rsidRDefault="0020188D" w:rsidP="00003787">
      <w:pPr>
        <w:pStyle w:val="ListParagraph"/>
        <w:numPr>
          <w:ilvl w:val="0"/>
          <w:numId w:val="22"/>
        </w:numPr>
      </w:pPr>
      <w:r w:rsidRPr="00A86BD1">
        <w:t>Do local partners possess clear plans to diversify funding sources to sustain advocacy activities?</w:t>
      </w:r>
    </w:p>
    <w:p w14:paraId="733CFF7E" w14:textId="77777777" w:rsidR="000D7F0B" w:rsidRPr="00A86BD1" w:rsidRDefault="000D7F0B" w:rsidP="00D50828">
      <w:pPr>
        <w:pStyle w:val="ListParagraph"/>
      </w:pPr>
    </w:p>
    <w:p w14:paraId="2D10D371" w14:textId="77777777" w:rsidR="0020188D" w:rsidRPr="00A86BD1" w:rsidRDefault="0020188D" w:rsidP="00003787">
      <w:pPr>
        <w:pStyle w:val="ListParagraph"/>
        <w:numPr>
          <w:ilvl w:val="0"/>
          <w:numId w:val="27"/>
        </w:numPr>
        <w:rPr>
          <w:b/>
          <w:bCs/>
        </w:rPr>
      </w:pPr>
      <w:r w:rsidRPr="00A86BD1">
        <w:rPr>
          <w:b/>
          <w:bCs/>
        </w:rPr>
        <w:t>Methodology:</w:t>
      </w:r>
    </w:p>
    <w:p w14:paraId="798C5955" w14:textId="77777777" w:rsidR="0020188D" w:rsidRPr="00A86BD1" w:rsidRDefault="0020188D" w:rsidP="00D50828">
      <w:pPr>
        <w:ind w:left="360"/>
        <w:jc w:val="both"/>
      </w:pPr>
      <w:r w:rsidRPr="00A86BD1">
        <w:t xml:space="preserve">The consultant is expected to adopt a Mixed-Methods Approach combining quantitative and qualitative analysis to ensure comprehensiveness and rigor of findings. The methodology must be based on participatory evaluation principles, enabling stakeholders—especially </w:t>
      </w:r>
      <w:r w:rsidRPr="00A86BD1">
        <w:lastRenderedPageBreak/>
        <w:t>women and marginalized groups—to play an active role in the evaluation process, not just serve as information sources.</w:t>
      </w:r>
    </w:p>
    <w:p w14:paraId="184C166E" w14:textId="1ACCF57F" w:rsidR="0020188D" w:rsidRPr="00A86BD1" w:rsidRDefault="0020188D" w:rsidP="00003787">
      <w:pPr>
        <w:pStyle w:val="ListParagraph"/>
        <w:numPr>
          <w:ilvl w:val="0"/>
          <w:numId w:val="22"/>
        </w:numPr>
        <w:rPr>
          <w:b/>
          <w:bCs/>
        </w:rPr>
      </w:pPr>
      <w:r w:rsidRPr="00A86BD1">
        <w:rPr>
          <w:b/>
          <w:bCs/>
        </w:rPr>
        <w:t>The methodology should include the following elements:</w:t>
      </w:r>
    </w:p>
    <w:p w14:paraId="1B4181A6" w14:textId="77777777" w:rsidR="00AF6ADA" w:rsidRPr="00A86BD1" w:rsidRDefault="00AF6ADA" w:rsidP="00003787">
      <w:pPr>
        <w:pStyle w:val="ListParagraph"/>
        <w:numPr>
          <w:ilvl w:val="0"/>
          <w:numId w:val="28"/>
        </w:numPr>
        <w:jc w:val="both"/>
      </w:pPr>
      <w:r w:rsidRPr="00A86BD1">
        <w:rPr>
          <w:b/>
          <w:bCs/>
        </w:rPr>
        <w:t>Quantitative Sample (Direct Participants):</w:t>
      </w:r>
      <w:r w:rsidRPr="00A86BD1">
        <w:t xml:space="preserve"> A statistically significant sample size for surveying the 500 direct beneficiaries (women/girls) and WRO staff, with a clear confidence level and margin of error.</w:t>
      </w:r>
    </w:p>
    <w:p w14:paraId="3B178516" w14:textId="77777777" w:rsidR="00AF6ADA" w:rsidRPr="00A86BD1" w:rsidRDefault="00AF6ADA" w:rsidP="00003787">
      <w:pPr>
        <w:pStyle w:val="ListParagraph"/>
        <w:numPr>
          <w:ilvl w:val="0"/>
          <w:numId w:val="28"/>
        </w:numPr>
        <w:jc w:val="both"/>
      </w:pPr>
      <w:r w:rsidRPr="00A86BD1">
        <w:rPr>
          <w:b/>
          <w:bCs/>
        </w:rPr>
        <w:t>Qualitative Sample:</w:t>
      </w:r>
      <w:r w:rsidRPr="00A86BD1">
        <w:t xml:space="preserve"> A purposive sample for Key Informant Interviews (KIIs) and Focus Group Discussions (FGDs) with partners (ACT, CEWLA), CDAs, and decision-makers.</w:t>
      </w:r>
    </w:p>
    <w:p w14:paraId="5D5BD329" w14:textId="0770808F" w:rsidR="00854D4E" w:rsidRPr="00A86BD1" w:rsidRDefault="00AF6ADA" w:rsidP="00003787">
      <w:pPr>
        <w:pStyle w:val="ListParagraph"/>
        <w:numPr>
          <w:ilvl w:val="0"/>
          <w:numId w:val="28"/>
        </w:numPr>
        <w:jc w:val="both"/>
      </w:pPr>
      <w:r w:rsidRPr="00A86BD1">
        <w:rPr>
          <w:b/>
          <w:bCs/>
        </w:rPr>
        <w:t>Measuring Impact on Indirect Participants (5,000):</w:t>
      </w:r>
      <w:r w:rsidRPr="00A86BD1">
        <w:t xml:space="preserve"> The Consultant must propose a robust methodology to assess the "ripple effect" of the project on indirect beneficiaries (e.g., family members of the direct participants, community members). This should explain how they will be reached (e.g., via snowball sampling, household interviews, or community-level outcome harvesting) and how the impact will be verified.</w:t>
      </w:r>
    </w:p>
    <w:p w14:paraId="3A0539E0" w14:textId="72EBDBCA" w:rsidR="0020188D" w:rsidRPr="00A86BD1" w:rsidRDefault="0020188D" w:rsidP="00003787">
      <w:pPr>
        <w:pStyle w:val="ListParagraph"/>
        <w:numPr>
          <w:ilvl w:val="0"/>
          <w:numId w:val="28"/>
        </w:numPr>
        <w:jc w:val="both"/>
      </w:pPr>
      <w:r w:rsidRPr="00A86BD1">
        <w:rPr>
          <w:b/>
          <w:bCs/>
        </w:rPr>
        <w:t>Data Triangulation:</w:t>
      </w:r>
      <w:r w:rsidRPr="00A86BD1">
        <w:t xml:space="preserve"> Validating findings by cross-referencing information from multiple sources (documents, beneficiaries, partners) and using different tools to reduce bias and increase reliability.</w:t>
      </w:r>
    </w:p>
    <w:p w14:paraId="758A1DE3" w14:textId="77777777" w:rsidR="0020188D" w:rsidRPr="00A86BD1" w:rsidRDefault="0020188D" w:rsidP="00003787">
      <w:pPr>
        <w:pStyle w:val="ListParagraph"/>
        <w:numPr>
          <w:ilvl w:val="0"/>
          <w:numId w:val="28"/>
        </w:numPr>
        <w:jc w:val="both"/>
      </w:pPr>
      <w:r w:rsidRPr="00A86BD1">
        <w:rPr>
          <w:b/>
          <w:bCs/>
        </w:rPr>
        <w:t>Data Collection Tools:</w:t>
      </w:r>
      <w:r w:rsidRPr="00A86BD1">
        <w:t xml:space="preserve"> In addition to document review and Key Informant Interviews (KIIs), the use of advanced qualitative tools like Outcome Harvesting (to monitor unplanned changes) and Most Significant Change (MSC) (to document qualitative impact) is encouraged.</w:t>
      </w:r>
    </w:p>
    <w:p w14:paraId="4EA993A9" w14:textId="77777777" w:rsidR="0020188D" w:rsidRPr="00A86BD1" w:rsidRDefault="0020188D" w:rsidP="00003787">
      <w:pPr>
        <w:pStyle w:val="ListParagraph"/>
        <w:numPr>
          <w:ilvl w:val="0"/>
          <w:numId w:val="28"/>
        </w:numPr>
        <w:jc w:val="both"/>
      </w:pPr>
      <w:r w:rsidRPr="00A86BD1">
        <w:rPr>
          <w:b/>
          <w:bCs/>
        </w:rPr>
        <w:t>Sampling Design:</w:t>
      </w:r>
      <w:r w:rsidRPr="00A86BD1">
        <w:t xml:space="preserve"> Adopting a clear sampling strategy combining random sampling (quantitative survey) and purposive sampling (qualitative interviews) to ensure accurate geographical and categorical representation.</w:t>
      </w:r>
    </w:p>
    <w:p w14:paraId="43ECC607" w14:textId="759E7ACB" w:rsidR="00665154" w:rsidRDefault="0020188D" w:rsidP="00003787">
      <w:pPr>
        <w:pStyle w:val="ListParagraph"/>
        <w:numPr>
          <w:ilvl w:val="0"/>
          <w:numId w:val="28"/>
        </w:numPr>
        <w:jc w:val="both"/>
      </w:pPr>
      <w:r w:rsidRPr="00A86BD1">
        <w:rPr>
          <w:b/>
          <w:bCs/>
        </w:rPr>
        <w:t>Data Ethics:</w:t>
      </w:r>
      <w:r w:rsidRPr="00A86BD1">
        <w:t xml:space="preserve"> Strict adherence to "Do No Harm" principles, especially when collecting data from survivors of violence or marginalized groups, ensuring data confidentiality and informed consent protocols.</w:t>
      </w:r>
    </w:p>
    <w:p w14:paraId="640E9696" w14:textId="778E17D4" w:rsidR="00C97516" w:rsidRPr="00A86BD1" w:rsidRDefault="00C97516" w:rsidP="00C97516">
      <w:pPr>
        <w:pStyle w:val="ListParagraph"/>
        <w:numPr>
          <w:ilvl w:val="0"/>
          <w:numId w:val="28"/>
        </w:numPr>
      </w:pPr>
      <w:r w:rsidRPr="00C97516">
        <w:rPr>
          <w:b/>
          <w:bCs/>
        </w:rPr>
        <w:t>Global Consolidation:</w:t>
      </w:r>
      <w:r>
        <w:t xml:space="preserve"> </w:t>
      </w:r>
      <w:r w:rsidRPr="00C97516">
        <w:t>While the primary data collection focuses on Egypt, the Consultant acts as the Lead Evaluator to compile the </w:t>
      </w:r>
      <w:r w:rsidRPr="00C97516">
        <w:rPr>
          <w:b/>
          <w:bCs/>
        </w:rPr>
        <w:t>Consolidated Multi-Country Report</w:t>
      </w:r>
      <w:r w:rsidRPr="00C97516">
        <w:t>, integrating data provided by CARE regarding the Iraq and South Sudan components.</w:t>
      </w:r>
    </w:p>
    <w:p w14:paraId="49A9B86C" w14:textId="77777777" w:rsidR="007845F9" w:rsidRPr="00A86BD1" w:rsidRDefault="007845F9" w:rsidP="007845F9">
      <w:pPr>
        <w:pStyle w:val="ListParagraph"/>
        <w:ind w:left="1080"/>
        <w:jc w:val="both"/>
      </w:pPr>
    </w:p>
    <w:p w14:paraId="143B120E" w14:textId="75138383" w:rsidR="0020188D" w:rsidRPr="00A86BD1" w:rsidRDefault="0020188D" w:rsidP="00003787">
      <w:pPr>
        <w:pStyle w:val="ListParagraph"/>
        <w:numPr>
          <w:ilvl w:val="0"/>
          <w:numId w:val="1"/>
        </w:numPr>
        <w:rPr>
          <w:b/>
          <w:bCs/>
          <w:sz w:val="28"/>
          <w:szCs w:val="28"/>
        </w:rPr>
      </w:pPr>
      <w:r w:rsidRPr="00A86BD1">
        <w:rPr>
          <w:b/>
          <w:bCs/>
          <w:sz w:val="28"/>
          <w:szCs w:val="28"/>
        </w:rPr>
        <w:t>Process</w:t>
      </w:r>
    </w:p>
    <w:p w14:paraId="39306207" w14:textId="77777777" w:rsidR="0020188D" w:rsidRPr="00A86BD1" w:rsidRDefault="0020188D" w:rsidP="00003787">
      <w:pPr>
        <w:pStyle w:val="ListParagraph"/>
        <w:numPr>
          <w:ilvl w:val="0"/>
          <w:numId w:val="29"/>
        </w:numPr>
        <w:rPr>
          <w:b/>
          <w:bCs/>
        </w:rPr>
      </w:pPr>
      <w:r w:rsidRPr="00A86BD1">
        <w:rPr>
          <w:b/>
          <w:bCs/>
        </w:rPr>
        <w:t>The evaluation process will follow these chronological phases:</w:t>
      </w:r>
    </w:p>
    <w:p w14:paraId="102D7033" w14:textId="77777777" w:rsidR="0020188D" w:rsidRPr="00A86BD1" w:rsidRDefault="0020188D" w:rsidP="00003787">
      <w:pPr>
        <w:pStyle w:val="ListParagraph"/>
        <w:numPr>
          <w:ilvl w:val="0"/>
          <w:numId w:val="30"/>
        </w:numPr>
        <w:jc w:val="both"/>
      </w:pPr>
      <w:r w:rsidRPr="00A86BD1">
        <w:rPr>
          <w:b/>
          <w:bCs/>
        </w:rPr>
        <w:t>Preparation Phase (20%):</w:t>
      </w:r>
      <w:r w:rsidRPr="00A86BD1">
        <w:t xml:space="preserve"> Desk review of documents and preparation of the Inception Report.</w:t>
      </w:r>
    </w:p>
    <w:p w14:paraId="3A361D35" w14:textId="77777777" w:rsidR="0020188D" w:rsidRPr="00A86BD1" w:rsidRDefault="0020188D" w:rsidP="00003787">
      <w:pPr>
        <w:pStyle w:val="ListParagraph"/>
        <w:numPr>
          <w:ilvl w:val="0"/>
          <w:numId w:val="30"/>
        </w:numPr>
        <w:jc w:val="both"/>
      </w:pPr>
      <w:r w:rsidRPr="00A86BD1">
        <w:rPr>
          <w:b/>
          <w:bCs/>
        </w:rPr>
        <w:lastRenderedPageBreak/>
        <w:t>Data Collection Phase (40%):</w:t>
      </w:r>
      <w:r w:rsidRPr="00A86BD1">
        <w:t xml:space="preserve"> Fieldwork in the targeted governorates (Cairo, Qalyubia, Assiut, Sohag).</w:t>
      </w:r>
    </w:p>
    <w:p w14:paraId="490B5B70" w14:textId="77777777" w:rsidR="0020188D" w:rsidRPr="00A86BD1" w:rsidRDefault="0020188D" w:rsidP="00003787">
      <w:pPr>
        <w:pStyle w:val="ListParagraph"/>
        <w:numPr>
          <w:ilvl w:val="0"/>
          <w:numId w:val="30"/>
        </w:numPr>
        <w:jc w:val="both"/>
      </w:pPr>
      <w:r w:rsidRPr="00A86BD1">
        <w:rPr>
          <w:b/>
          <w:bCs/>
        </w:rPr>
        <w:t>Analysis Phase (30%):</w:t>
      </w:r>
      <w:r w:rsidRPr="00A86BD1">
        <w:t xml:space="preserve"> Data transcription, analysis (quantitative and qualitative), and drafting the first report.</w:t>
      </w:r>
    </w:p>
    <w:p w14:paraId="53BFA1B7" w14:textId="0189AE88" w:rsidR="0020188D" w:rsidRPr="00A86BD1" w:rsidRDefault="0020188D" w:rsidP="00003787">
      <w:pPr>
        <w:pStyle w:val="ListParagraph"/>
        <w:numPr>
          <w:ilvl w:val="0"/>
          <w:numId w:val="30"/>
        </w:numPr>
        <w:jc w:val="both"/>
      </w:pPr>
      <w:r w:rsidRPr="00A86BD1">
        <w:rPr>
          <w:b/>
          <w:bCs/>
        </w:rPr>
        <w:t>Validation &amp; Finalization Phase (10%):</w:t>
      </w:r>
      <w:r w:rsidRPr="00A86BD1">
        <w:t xml:space="preserve"> Validation </w:t>
      </w:r>
      <w:r w:rsidR="00D41092" w:rsidRPr="00A86BD1">
        <w:t>Data</w:t>
      </w:r>
      <w:r w:rsidRPr="00A86BD1">
        <w:t>, integrating feedback, and submitting the final product.</w:t>
      </w:r>
    </w:p>
    <w:p w14:paraId="79ABD500" w14:textId="77777777" w:rsidR="0020188D" w:rsidRPr="00A86BD1" w:rsidRDefault="0020188D" w:rsidP="00003787">
      <w:pPr>
        <w:pStyle w:val="ListParagraph"/>
        <w:numPr>
          <w:ilvl w:val="0"/>
          <w:numId w:val="30"/>
        </w:numPr>
        <w:jc w:val="both"/>
      </w:pPr>
      <w:r w:rsidRPr="00A86BD1">
        <w:t>All work must be completed and the final invoice submitted before March 15, 2026.</w:t>
      </w:r>
    </w:p>
    <w:p w14:paraId="178E4047" w14:textId="77777777" w:rsidR="00060E2E" w:rsidRPr="00A86BD1" w:rsidRDefault="00060E2E" w:rsidP="00060E2E">
      <w:pPr>
        <w:pStyle w:val="ListParagraph"/>
        <w:ind w:left="1080"/>
        <w:jc w:val="both"/>
      </w:pPr>
    </w:p>
    <w:p w14:paraId="29FC109B" w14:textId="4E467EF7" w:rsidR="0020188D" w:rsidRPr="00A86BD1" w:rsidRDefault="0020188D" w:rsidP="00003787">
      <w:pPr>
        <w:pStyle w:val="ListParagraph"/>
        <w:numPr>
          <w:ilvl w:val="0"/>
          <w:numId w:val="1"/>
        </w:numPr>
        <w:rPr>
          <w:b/>
          <w:bCs/>
          <w:sz w:val="28"/>
          <w:szCs w:val="28"/>
        </w:rPr>
      </w:pPr>
      <w:r w:rsidRPr="00A86BD1">
        <w:rPr>
          <w:b/>
          <w:bCs/>
          <w:sz w:val="28"/>
          <w:szCs w:val="28"/>
        </w:rPr>
        <w:t>Outputs and Deliverables</w:t>
      </w:r>
    </w:p>
    <w:p w14:paraId="4615CBCC" w14:textId="77777777" w:rsidR="0020188D" w:rsidRPr="00A86BD1" w:rsidRDefault="0020188D" w:rsidP="00003787">
      <w:pPr>
        <w:pStyle w:val="ListParagraph"/>
        <w:numPr>
          <w:ilvl w:val="0"/>
          <w:numId w:val="31"/>
        </w:numPr>
        <w:jc w:val="both"/>
        <w:rPr>
          <w:b/>
          <w:bCs/>
        </w:rPr>
      </w:pPr>
      <w:r w:rsidRPr="00A86BD1">
        <w:rPr>
          <w:b/>
          <w:bCs/>
        </w:rPr>
        <w:t>The Consultant is expected to achieve the following deliverables:</w:t>
      </w:r>
    </w:p>
    <w:p w14:paraId="4D382182" w14:textId="77777777" w:rsidR="0020188D" w:rsidRPr="00A86BD1" w:rsidRDefault="0020188D" w:rsidP="00003787">
      <w:pPr>
        <w:pStyle w:val="ListParagraph"/>
        <w:numPr>
          <w:ilvl w:val="0"/>
          <w:numId w:val="32"/>
        </w:numPr>
        <w:jc w:val="both"/>
      </w:pPr>
      <w:r w:rsidRPr="00A86BD1">
        <w:rPr>
          <w:b/>
          <w:bCs/>
        </w:rPr>
        <w:t>Inception Report:</w:t>
      </w:r>
      <w:r w:rsidRPr="00A86BD1">
        <w:t xml:space="preserve"> Includes the Evaluation Matrix, updated data collection tools, and the work plan.</w:t>
      </w:r>
    </w:p>
    <w:p w14:paraId="7D6A4E3E" w14:textId="77777777" w:rsidR="0020188D" w:rsidRPr="00A86BD1" w:rsidRDefault="0020188D" w:rsidP="00003787">
      <w:pPr>
        <w:pStyle w:val="ListParagraph"/>
        <w:numPr>
          <w:ilvl w:val="0"/>
          <w:numId w:val="32"/>
        </w:numPr>
        <w:jc w:val="both"/>
      </w:pPr>
      <w:r w:rsidRPr="00A86BD1">
        <w:rPr>
          <w:b/>
          <w:bCs/>
        </w:rPr>
        <w:t>Debriefing Presentation:</w:t>
      </w:r>
      <w:r w:rsidRPr="00A86BD1">
        <w:t xml:space="preserve"> A brainstorming session with the CARE Egypt team and partners to discuss preliminary findings before writing the report, ensuring context accuracy.</w:t>
      </w:r>
    </w:p>
    <w:p w14:paraId="72488E71" w14:textId="77777777" w:rsidR="0020188D" w:rsidRPr="00A86BD1" w:rsidRDefault="0020188D" w:rsidP="00003787">
      <w:pPr>
        <w:pStyle w:val="ListParagraph"/>
        <w:numPr>
          <w:ilvl w:val="0"/>
          <w:numId w:val="32"/>
        </w:numPr>
        <w:jc w:val="both"/>
      </w:pPr>
      <w:r w:rsidRPr="00A86BD1">
        <w:rPr>
          <w:b/>
          <w:bCs/>
        </w:rPr>
        <w:t>Final Evaluation Report (Draft and Final Version):</w:t>
      </w:r>
      <w:r w:rsidRPr="00A86BD1">
        <w:t xml:space="preserve"> A comprehensive document not exceeding 40 pages (excluding annexes), including a robust analysis of data, evidence-based conclusions, and Actionable Recommendations. Language: English.</w:t>
      </w:r>
    </w:p>
    <w:p w14:paraId="648D70DF" w14:textId="5A46D421" w:rsidR="0020188D" w:rsidRPr="00A86BD1" w:rsidRDefault="00FB3C4F" w:rsidP="00003787">
      <w:pPr>
        <w:pStyle w:val="ListParagraph"/>
        <w:numPr>
          <w:ilvl w:val="0"/>
          <w:numId w:val="32"/>
        </w:numPr>
        <w:jc w:val="both"/>
      </w:pPr>
      <w:r w:rsidRPr="00A86BD1">
        <w:rPr>
          <w:b/>
          <w:bCs/>
        </w:rPr>
        <w:t>Evaluation Brief</w:t>
      </w:r>
      <w:r w:rsidR="0020188D" w:rsidRPr="00A86BD1">
        <w:t>: A brief final product (4-6 pages) highlighting key results, lessons, and recommendations, designed for dissemination among WROs, partners, and donors.</w:t>
      </w:r>
    </w:p>
    <w:p w14:paraId="03839F9B" w14:textId="55D7F1C3" w:rsidR="00F6502D" w:rsidRPr="00A86BD1" w:rsidRDefault="00F6502D" w:rsidP="00003787">
      <w:pPr>
        <w:pStyle w:val="ListParagraph"/>
        <w:numPr>
          <w:ilvl w:val="0"/>
          <w:numId w:val="32"/>
        </w:numPr>
        <w:jc w:val="both"/>
      </w:pPr>
      <w:r w:rsidRPr="00A86BD1">
        <w:rPr>
          <w:b/>
          <w:bCs/>
        </w:rPr>
        <w:t>Case Studies &amp; Success Stories:</w:t>
      </w:r>
      <w:r w:rsidRPr="00A86BD1">
        <w:t xml:space="preserve"> A collection of at least </w:t>
      </w:r>
      <w:r w:rsidRPr="00A86BD1">
        <w:rPr>
          <w:b/>
          <w:bCs/>
        </w:rPr>
        <w:t>5</w:t>
      </w:r>
      <w:r w:rsidR="008B6F90" w:rsidRPr="00A86BD1">
        <w:t xml:space="preserve"> </w:t>
      </w:r>
      <w:r w:rsidRPr="00A86BD1">
        <w:t>high-quality case studies/success stories documenting the human impact of the project.</w:t>
      </w:r>
    </w:p>
    <w:p w14:paraId="20005C06" w14:textId="45C5E6BF" w:rsidR="00B07935" w:rsidRPr="00A86BD1" w:rsidRDefault="0020188D" w:rsidP="00003787">
      <w:pPr>
        <w:pStyle w:val="ListParagraph"/>
        <w:numPr>
          <w:ilvl w:val="0"/>
          <w:numId w:val="32"/>
        </w:numPr>
        <w:jc w:val="both"/>
      </w:pPr>
      <w:r w:rsidRPr="00A86BD1">
        <w:rPr>
          <w:b/>
          <w:bCs/>
        </w:rPr>
        <w:t>Raw Data Database:</w:t>
      </w:r>
      <w:r w:rsidRPr="00A86BD1">
        <w:t xml:space="preserve"> All data (quantitative and anonymized transcripts) after cleaning and removing identifying information.</w:t>
      </w:r>
    </w:p>
    <w:p w14:paraId="7A70574D" w14:textId="58C13908" w:rsidR="00DA6C43" w:rsidRPr="00A86BD1" w:rsidRDefault="00A86BD1" w:rsidP="00685A42">
      <w:pPr>
        <w:pStyle w:val="ListParagraph"/>
        <w:numPr>
          <w:ilvl w:val="0"/>
          <w:numId w:val="32"/>
        </w:numPr>
        <w:jc w:val="both"/>
      </w:pPr>
      <w:r w:rsidRPr="00A86BD1">
        <w:rPr>
          <w:b/>
          <w:bCs/>
        </w:rPr>
        <w:t>Consolidated Multi-Country Evaluation Report:</w:t>
      </w:r>
      <w:r w:rsidR="00685A42">
        <w:rPr>
          <w:b/>
          <w:bCs/>
        </w:rPr>
        <w:t xml:space="preserve"> </w:t>
      </w:r>
      <w:r w:rsidRPr="00A86BD1">
        <w:t>The Consultant is required to draft a </w:t>
      </w:r>
      <w:r w:rsidRPr="00A86BD1">
        <w:rPr>
          <w:b/>
          <w:bCs/>
        </w:rPr>
        <w:t>Consolidated Final Evaluation Report</w:t>
      </w:r>
      <w:r w:rsidRPr="00A86BD1">
        <w:t> that covers all three project countries (Egypt, Iraq, and South Sudan). This report should synthesize findings, lessons learned, common trends, and recommendations from the three contexts.</w:t>
      </w:r>
      <w:r w:rsidRPr="00A86BD1">
        <w:br/>
      </w:r>
      <w:r w:rsidRPr="00685A42">
        <w:rPr>
          <w:i/>
          <w:iCs/>
          <w:u w:val="single"/>
        </w:rPr>
        <w:t>(Note: For Iraq and South Sudan, the Consultant will rely on data/reports provided by CARE to perform this synthesis; no travel to these countries is required)</w:t>
      </w:r>
      <w:r w:rsidRPr="00A86BD1">
        <w:rPr>
          <w:i/>
          <w:iCs/>
        </w:rPr>
        <w:t>.</w:t>
      </w:r>
    </w:p>
    <w:p w14:paraId="1E886B07" w14:textId="77777777" w:rsidR="008B6F90" w:rsidRPr="00A86BD1" w:rsidRDefault="008B6F90" w:rsidP="008B6F90">
      <w:pPr>
        <w:pStyle w:val="ListParagraph"/>
        <w:ind w:left="1080"/>
        <w:jc w:val="both"/>
      </w:pPr>
    </w:p>
    <w:p w14:paraId="4A048785" w14:textId="4A1EF095" w:rsidR="0020188D" w:rsidRPr="00A86BD1" w:rsidRDefault="0020188D" w:rsidP="00003787">
      <w:pPr>
        <w:pStyle w:val="ListParagraph"/>
        <w:numPr>
          <w:ilvl w:val="0"/>
          <w:numId w:val="33"/>
        </w:numPr>
        <w:rPr>
          <w:b/>
          <w:bCs/>
        </w:rPr>
      </w:pPr>
      <w:r w:rsidRPr="00A86BD1">
        <w:rPr>
          <w:b/>
          <w:bCs/>
        </w:rPr>
        <w:t>Data Disclosure &amp; Ethics:</w:t>
      </w:r>
    </w:p>
    <w:p w14:paraId="2ACFD09C" w14:textId="77777777" w:rsidR="0020188D" w:rsidRPr="00A86BD1" w:rsidRDefault="0020188D" w:rsidP="00003787">
      <w:pPr>
        <w:pStyle w:val="ListParagraph"/>
        <w:numPr>
          <w:ilvl w:val="0"/>
          <w:numId w:val="34"/>
        </w:numPr>
        <w:jc w:val="both"/>
      </w:pPr>
      <w:r w:rsidRPr="00A86BD1">
        <w:t>The Consultant must ensure all data collection complies with ethical principles, including informed consent, confidentiality, and safeguarding measures consistent with CARE's policies.</w:t>
      </w:r>
    </w:p>
    <w:p w14:paraId="0182BB9B" w14:textId="77777777" w:rsidR="0020188D" w:rsidRPr="00A86BD1" w:rsidRDefault="0020188D" w:rsidP="00003787">
      <w:pPr>
        <w:pStyle w:val="ListParagraph"/>
        <w:numPr>
          <w:ilvl w:val="0"/>
          <w:numId w:val="34"/>
        </w:numPr>
        <w:jc w:val="both"/>
      </w:pPr>
      <w:r w:rsidRPr="00A86BD1">
        <w:t>Anonymization: Data sets must be anonymized (names removed) but coded with a unique identifier key kept separately.</w:t>
      </w:r>
    </w:p>
    <w:p w14:paraId="770860DF" w14:textId="08794286" w:rsidR="00CC7423" w:rsidRPr="00A86BD1" w:rsidRDefault="0020188D" w:rsidP="00003787">
      <w:pPr>
        <w:pStyle w:val="ListParagraph"/>
        <w:numPr>
          <w:ilvl w:val="0"/>
          <w:numId w:val="34"/>
        </w:numPr>
        <w:jc w:val="both"/>
      </w:pPr>
      <w:r w:rsidRPr="00A86BD1">
        <w:rPr>
          <w:b/>
          <w:bCs/>
        </w:rPr>
        <w:lastRenderedPageBreak/>
        <w:t>AI Usage</w:t>
      </w:r>
      <w:r w:rsidRPr="00A86BD1">
        <w:t xml:space="preserve">: </w:t>
      </w:r>
      <w:r w:rsidR="00CC7423" w:rsidRPr="00A86BD1">
        <w:t>If the consultant intends to use AI tools or platforms at any stage of the assignment, this must be explicitly detailed in the technical proposal, including:</w:t>
      </w:r>
    </w:p>
    <w:p w14:paraId="17794CB7" w14:textId="77777777" w:rsidR="00CC7423" w:rsidRPr="00A86BD1" w:rsidRDefault="00CC7423" w:rsidP="00003787">
      <w:pPr>
        <w:pStyle w:val="ListParagraph"/>
        <w:numPr>
          <w:ilvl w:val="0"/>
          <w:numId w:val="50"/>
        </w:numPr>
        <w:jc w:val="both"/>
      </w:pPr>
      <w:r w:rsidRPr="00A86BD1">
        <w:t>The specific stages and tasks where AI will be utilized (e.g., data transcription, coding, analysis, or statistical modeling).</w:t>
      </w:r>
    </w:p>
    <w:p w14:paraId="2380CC25" w14:textId="77777777" w:rsidR="00CC7423" w:rsidRPr="00A86BD1" w:rsidRDefault="00CC7423" w:rsidP="00003787">
      <w:pPr>
        <w:pStyle w:val="ListParagraph"/>
        <w:numPr>
          <w:ilvl w:val="0"/>
          <w:numId w:val="50"/>
        </w:numPr>
        <w:jc w:val="both"/>
      </w:pPr>
      <w:r w:rsidRPr="00A86BD1">
        <w:t>The AI platform(s) to be used, including their data security and confidentiality measures.</w:t>
      </w:r>
    </w:p>
    <w:p w14:paraId="1F245BBE" w14:textId="77777777" w:rsidR="00CC7423" w:rsidRPr="00A86BD1" w:rsidRDefault="00CC7423" w:rsidP="00003787">
      <w:pPr>
        <w:pStyle w:val="ListParagraph"/>
        <w:numPr>
          <w:ilvl w:val="0"/>
          <w:numId w:val="50"/>
        </w:numPr>
        <w:jc w:val="both"/>
      </w:pPr>
      <w:r w:rsidRPr="00A86BD1">
        <w:t>A clear explanation of how data protection and privacy will be maintained, ensuring that no sensitive or personal data is exposed to unauthorized third parties.</w:t>
      </w:r>
    </w:p>
    <w:p w14:paraId="50E0599F" w14:textId="77777777" w:rsidR="00CC7423" w:rsidRPr="00A86BD1" w:rsidRDefault="00CC7423" w:rsidP="00003787">
      <w:pPr>
        <w:pStyle w:val="ListParagraph"/>
        <w:numPr>
          <w:ilvl w:val="0"/>
          <w:numId w:val="50"/>
        </w:numPr>
        <w:jc w:val="both"/>
      </w:pPr>
      <w:r w:rsidRPr="00A86BD1">
        <w:t>An outline of how the use of AI will lead to efficiency gains, such as reduced human resources or fewer working days, and how these savings are reflected in the financial proposal.</w:t>
      </w:r>
    </w:p>
    <w:p w14:paraId="0F63CF00" w14:textId="03A2E8FA" w:rsidR="0020188D" w:rsidRPr="00A86BD1" w:rsidRDefault="00CC7423" w:rsidP="00003787">
      <w:pPr>
        <w:pStyle w:val="ListParagraph"/>
        <w:numPr>
          <w:ilvl w:val="0"/>
          <w:numId w:val="50"/>
        </w:numPr>
        <w:jc w:val="both"/>
      </w:pPr>
      <w:r w:rsidRPr="00A86BD1">
        <w:t>The proposal should also demonstrate that AI use will not compromise data quality, ethical standards, or compliance with CARE’s safeguarding and data management policies.</w:t>
      </w:r>
    </w:p>
    <w:p w14:paraId="54EE90B4" w14:textId="77777777" w:rsidR="003626F7" w:rsidRPr="00A86BD1" w:rsidRDefault="003626F7" w:rsidP="003626F7">
      <w:pPr>
        <w:pStyle w:val="ListParagraph"/>
        <w:ind w:left="1080"/>
        <w:jc w:val="both"/>
      </w:pPr>
    </w:p>
    <w:p w14:paraId="09983B50" w14:textId="13599E9C" w:rsidR="0020188D" w:rsidRPr="00A86BD1" w:rsidRDefault="0020188D" w:rsidP="00003787">
      <w:pPr>
        <w:pStyle w:val="ListParagraph"/>
        <w:numPr>
          <w:ilvl w:val="0"/>
          <w:numId w:val="1"/>
        </w:numPr>
        <w:rPr>
          <w:b/>
          <w:bCs/>
          <w:sz w:val="28"/>
          <w:szCs w:val="28"/>
        </w:rPr>
      </w:pPr>
      <w:r w:rsidRPr="00A86BD1">
        <w:rPr>
          <w:b/>
          <w:bCs/>
          <w:sz w:val="28"/>
          <w:szCs w:val="28"/>
        </w:rPr>
        <w:t>Expertise Profile of the Evaluation Team</w:t>
      </w:r>
    </w:p>
    <w:p w14:paraId="30282A5E" w14:textId="77777777" w:rsidR="0020188D" w:rsidRPr="00A86BD1" w:rsidRDefault="0020188D" w:rsidP="00003787">
      <w:pPr>
        <w:pStyle w:val="ListParagraph"/>
        <w:numPr>
          <w:ilvl w:val="0"/>
          <w:numId w:val="35"/>
        </w:numPr>
        <w:rPr>
          <w:b/>
          <w:bCs/>
        </w:rPr>
      </w:pPr>
      <w:r w:rsidRPr="00A86BD1">
        <w:rPr>
          <w:b/>
          <w:bCs/>
        </w:rPr>
        <w:t>The consultant should possess the following qualifications:</w:t>
      </w:r>
    </w:p>
    <w:p w14:paraId="49249A0B" w14:textId="77777777" w:rsidR="004464EB" w:rsidRPr="00A86BD1" w:rsidRDefault="004464EB" w:rsidP="004464EB">
      <w:pPr>
        <w:pStyle w:val="ListParagraph"/>
        <w:numPr>
          <w:ilvl w:val="0"/>
          <w:numId w:val="36"/>
        </w:numPr>
        <w:jc w:val="both"/>
      </w:pPr>
      <w:r w:rsidRPr="00A86BD1">
        <w:rPr>
          <w:b/>
          <w:bCs/>
        </w:rPr>
        <w:t>Experience:</w:t>
      </w:r>
      <w:r w:rsidRPr="00A86BD1">
        <w:t xml:space="preserve"> 8 to 10 years of professional experience in conducting evaluations for development projects.</w:t>
      </w:r>
    </w:p>
    <w:p w14:paraId="1C366194" w14:textId="77777777" w:rsidR="004464EB" w:rsidRPr="00A86BD1" w:rsidRDefault="004464EB" w:rsidP="004464EB">
      <w:pPr>
        <w:pStyle w:val="ListParagraph"/>
        <w:numPr>
          <w:ilvl w:val="0"/>
          <w:numId w:val="36"/>
        </w:numPr>
        <w:jc w:val="both"/>
      </w:pPr>
      <w:r w:rsidRPr="00A86BD1">
        <w:rPr>
          <w:b/>
          <w:bCs/>
        </w:rPr>
        <w:t>Thematic Focus</w:t>
      </w:r>
      <w:r w:rsidRPr="00A86BD1">
        <w:t>: Proven experience in evaluating projects related to Women’s Rights, Gender-Based Violence (GBV), or the WPS agenda.</w:t>
      </w:r>
    </w:p>
    <w:p w14:paraId="6DF111C3" w14:textId="16AFA00D" w:rsidR="004464EB" w:rsidRPr="00A86BD1" w:rsidRDefault="004464EB" w:rsidP="004464EB">
      <w:pPr>
        <w:pStyle w:val="ListParagraph"/>
        <w:numPr>
          <w:ilvl w:val="0"/>
          <w:numId w:val="36"/>
        </w:numPr>
        <w:jc w:val="both"/>
      </w:pPr>
      <w:r w:rsidRPr="00A86BD1">
        <w:rPr>
          <w:b/>
          <w:bCs/>
        </w:rPr>
        <w:t>Education:</w:t>
      </w:r>
      <w:r w:rsidRPr="00A86BD1">
        <w:t xml:space="preserve"> </w:t>
      </w:r>
      <w:r w:rsidR="009246AE" w:rsidRPr="00A86BD1">
        <w:t xml:space="preserve">University degree or preferably a </w:t>
      </w:r>
      <w:r w:rsidRPr="00A86BD1">
        <w:t>Master’s degree in Social Sciences, Development, or a related field.</w:t>
      </w:r>
    </w:p>
    <w:p w14:paraId="639379C6" w14:textId="77777777" w:rsidR="0020188D" w:rsidRPr="00A86BD1" w:rsidRDefault="0020188D" w:rsidP="00003787">
      <w:pPr>
        <w:pStyle w:val="ListParagraph"/>
        <w:numPr>
          <w:ilvl w:val="0"/>
          <w:numId w:val="36"/>
        </w:numPr>
        <w:jc w:val="both"/>
      </w:pPr>
      <w:r w:rsidRPr="00A86BD1">
        <w:t>Experience in collecting and analyzing quantitative and qualitative research in development projects.</w:t>
      </w:r>
    </w:p>
    <w:p w14:paraId="2BB396A5" w14:textId="77777777" w:rsidR="0020188D" w:rsidRPr="00A86BD1" w:rsidRDefault="0020188D" w:rsidP="00003787">
      <w:pPr>
        <w:pStyle w:val="ListParagraph"/>
        <w:numPr>
          <w:ilvl w:val="0"/>
          <w:numId w:val="36"/>
        </w:numPr>
        <w:jc w:val="both"/>
      </w:pPr>
      <w:r w:rsidRPr="00A86BD1">
        <w:t>Significant capability and experience in planning and organizing logistics, including designing and implementing learning studies.</w:t>
      </w:r>
    </w:p>
    <w:p w14:paraId="23A6F922" w14:textId="77777777" w:rsidR="0020188D" w:rsidRPr="00A86BD1" w:rsidRDefault="0020188D" w:rsidP="00003787">
      <w:pPr>
        <w:pStyle w:val="ListParagraph"/>
        <w:numPr>
          <w:ilvl w:val="0"/>
          <w:numId w:val="36"/>
        </w:numPr>
        <w:jc w:val="both"/>
      </w:pPr>
      <w:r w:rsidRPr="00A86BD1">
        <w:t>Ability to store and maintain data in a way that protects participants' identities.</w:t>
      </w:r>
    </w:p>
    <w:p w14:paraId="4911FF5D" w14:textId="77777777" w:rsidR="00D00671" w:rsidRPr="00A86BD1" w:rsidRDefault="00D00671" w:rsidP="00D00671">
      <w:pPr>
        <w:pStyle w:val="ListParagraph"/>
        <w:numPr>
          <w:ilvl w:val="0"/>
          <w:numId w:val="36"/>
        </w:numPr>
        <w:jc w:val="both"/>
      </w:pPr>
      <w:r w:rsidRPr="00A86BD1">
        <w:rPr>
          <w:b/>
          <w:bCs/>
        </w:rPr>
        <w:t>Skills:</w:t>
      </w:r>
      <w:r w:rsidRPr="00A86BD1">
        <w:t xml:space="preserve"> Strong background in mixed-methods research (Quantitative &amp; Qualitative).</w:t>
      </w:r>
    </w:p>
    <w:p w14:paraId="527E6B59" w14:textId="77777777" w:rsidR="00D00671" w:rsidRPr="00A86BD1" w:rsidRDefault="00D00671" w:rsidP="00D00671">
      <w:pPr>
        <w:pStyle w:val="ListParagraph"/>
        <w:numPr>
          <w:ilvl w:val="0"/>
          <w:numId w:val="36"/>
        </w:numPr>
        <w:jc w:val="both"/>
      </w:pPr>
      <w:r w:rsidRPr="00A86BD1">
        <w:rPr>
          <w:b/>
          <w:bCs/>
        </w:rPr>
        <w:t>Language:</w:t>
      </w:r>
      <w:r w:rsidRPr="00A86BD1">
        <w:t xml:space="preserve"> Excellent reporting and presentation skills in both Arabic and English.</w:t>
      </w:r>
    </w:p>
    <w:p w14:paraId="0EC2FBCF" w14:textId="5508D2BA" w:rsidR="00CF1244" w:rsidRPr="00A86BD1" w:rsidRDefault="0020188D" w:rsidP="00003787">
      <w:pPr>
        <w:pStyle w:val="ListParagraph"/>
        <w:numPr>
          <w:ilvl w:val="0"/>
          <w:numId w:val="36"/>
        </w:numPr>
        <w:jc w:val="both"/>
      </w:pPr>
      <w:r w:rsidRPr="00A86BD1">
        <w:rPr>
          <w:b/>
          <w:bCs/>
        </w:rPr>
        <w:t>Independence:</w:t>
      </w:r>
      <w:r w:rsidRPr="00A86BD1">
        <w:t xml:space="preserve"> The consultant/team must not have had any prior role in the design or implementation of this project.</w:t>
      </w:r>
    </w:p>
    <w:p w14:paraId="17B74820" w14:textId="77777777" w:rsidR="00126E49" w:rsidRPr="00A86BD1" w:rsidRDefault="00126E49" w:rsidP="00126E49">
      <w:pPr>
        <w:pStyle w:val="ListParagraph"/>
        <w:ind w:left="1080"/>
        <w:jc w:val="both"/>
      </w:pPr>
    </w:p>
    <w:p w14:paraId="54D351F6" w14:textId="72BA74D8" w:rsidR="0020188D" w:rsidRPr="00A86BD1" w:rsidRDefault="0020188D" w:rsidP="00003787">
      <w:pPr>
        <w:pStyle w:val="ListParagraph"/>
        <w:numPr>
          <w:ilvl w:val="0"/>
          <w:numId w:val="1"/>
        </w:numPr>
        <w:rPr>
          <w:b/>
          <w:bCs/>
          <w:sz w:val="28"/>
          <w:szCs w:val="28"/>
        </w:rPr>
      </w:pPr>
      <w:r w:rsidRPr="00A86BD1">
        <w:rPr>
          <w:b/>
          <w:bCs/>
          <w:sz w:val="28"/>
          <w:szCs w:val="28"/>
        </w:rPr>
        <w:t>Tentative Timetable</w:t>
      </w:r>
    </w:p>
    <w:p w14:paraId="68425FB8" w14:textId="696794EE" w:rsidR="0020188D" w:rsidRPr="00A86BD1" w:rsidRDefault="0020188D" w:rsidP="00003787">
      <w:pPr>
        <w:pStyle w:val="ListParagraph"/>
        <w:numPr>
          <w:ilvl w:val="0"/>
          <w:numId w:val="37"/>
        </w:numPr>
        <w:jc w:val="both"/>
        <w:rPr>
          <w:b/>
          <w:bCs/>
        </w:rPr>
      </w:pPr>
      <w:r w:rsidRPr="00A86BD1">
        <w:rPr>
          <w:b/>
          <w:bCs/>
        </w:rPr>
        <w:t>Appointment Duration:</w:t>
      </w:r>
      <w:r w:rsidR="00CF1244" w:rsidRPr="00A86BD1">
        <w:rPr>
          <w:b/>
          <w:bCs/>
        </w:rPr>
        <w:t xml:space="preserve"> </w:t>
      </w:r>
      <w:r w:rsidRPr="00A86BD1">
        <w:t>The consultancy is expected to start in early February 2026 and end by the first week of March 2026.</w:t>
      </w:r>
    </w:p>
    <w:p w14:paraId="555EFAEC" w14:textId="77777777" w:rsidR="0020188D" w:rsidRPr="00A86BD1" w:rsidRDefault="0020188D" w:rsidP="00003787">
      <w:pPr>
        <w:pStyle w:val="ListParagraph"/>
        <w:numPr>
          <w:ilvl w:val="0"/>
          <w:numId w:val="38"/>
        </w:numPr>
        <w:jc w:val="both"/>
      </w:pPr>
      <w:r w:rsidRPr="00A86BD1">
        <w:t>The total Level of Effort is distributed across field travel days, stakeholder meetings, preparation, data collection, and report writing.</w:t>
      </w:r>
    </w:p>
    <w:p w14:paraId="3AC27181" w14:textId="77777777" w:rsidR="00CF1244" w:rsidRPr="00A86BD1" w:rsidRDefault="00CF1244" w:rsidP="00CF1244">
      <w:pPr>
        <w:pStyle w:val="ListParagraph"/>
        <w:ind w:left="1080"/>
        <w:jc w:val="both"/>
      </w:pPr>
    </w:p>
    <w:p w14:paraId="5025FBE0" w14:textId="002C40C2" w:rsidR="0020188D" w:rsidRPr="00A86BD1" w:rsidRDefault="0020188D" w:rsidP="00003787">
      <w:pPr>
        <w:pStyle w:val="ListParagraph"/>
        <w:numPr>
          <w:ilvl w:val="0"/>
          <w:numId w:val="1"/>
        </w:numPr>
        <w:rPr>
          <w:b/>
          <w:bCs/>
          <w:sz w:val="28"/>
          <w:szCs w:val="28"/>
        </w:rPr>
      </w:pPr>
      <w:r w:rsidRPr="00A86BD1">
        <w:rPr>
          <w:b/>
          <w:bCs/>
          <w:sz w:val="28"/>
          <w:szCs w:val="28"/>
        </w:rPr>
        <w:t>Management of the Evaluation</w:t>
      </w:r>
    </w:p>
    <w:p w14:paraId="1CE396EC" w14:textId="6E7A38EF" w:rsidR="0020188D" w:rsidRPr="00A86BD1" w:rsidRDefault="0020188D" w:rsidP="00003787">
      <w:pPr>
        <w:pStyle w:val="ListParagraph"/>
        <w:numPr>
          <w:ilvl w:val="0"/>
          <w:numId w:val="39"/>
        </w:numPr>
        <w:jc w:val="both"/>
        <w:rPr>
          <w:b/>
          <w:bCs/>
        </w:rPr>
      </w:pPr>
      <w:r w:rsidRPr="00A86BD1">
        <w:rPr>
          <w:b/>
          <w:bCs/>
        </w:rPr>
        <w:lastRenderedPageBreak/>
        <w:t>Coordination:</w:t>
      </w:r>
      <w:r w:rsidR="00CF1244" w:rsidRPr="00A86BD1">
        <w:rPr>
          <w:b/>
          <w:bCs/>
        </w:rPr>
        <w:t xml:space="preserve"> </w:t>
      </w:r>
      <w:r w:rsidRPr="00A86BD1">
        <w:t>The Consultant will coordinate with and report administratively to the Project Manager and the Monitoring, Evaluation, Accountability, and Learning (MEAL) Officer.</w:t>
      </w:r>
    </w:p>
    <w:p w14:paraId="3CEA3781" w14:textId="414E6088" w:rsidR="0020188D" w:rsidRPr="00A86BD1" w:rsidRDefault="0020188D" w:rsidP="00003787">
      <w:pPr>
        <w:pStyle w:val="ListParagraph"/>
        <w:numPr>
          <w:ilvl w:val="0"/>
          <w:numId w:val="39"/>
        </w:numPr>
        <w:jc w:val="both"/>
        <w:rPr>
          <w:b/>
          <w:bCs/>
        </w:rPr>
      </w:pPr>
      <w:r w:rsidRPr="00A86BD1">
        <w:rPr>
          <w:b/>
          <w:bCs/>
        </w:rPr>
        <w:t>Gender &amp; Safeguarding:</w:t>
      </w:r>
      <w:r w:rsidR="007F1857" w:rsidRPr="00A86BD1">
        <w:rPr>
          <w:b/>
          <w:bCs/>
        </w:rPr>
        <w:t xml:space="preserve"> </w:t>
      </w:r>
      <w:r w:rsidRPr="00A86BD1">
        <w:t>All data collection tools and analyses should include a gender perspective and ensure data is disaggregated by sex, age, and location. Safeguarding protocols must be followed at all stages, including obtaining informed consent and ensuring referral pathways for participants disclosing experiences of violence or distress.</w:t>
      </w:r>
    </w:p>
    <w:p w14:paraId="20F6B97C" w14:textId="77777777" w:rsidR="00A57FF9" w:rsidRPr="00A86BD1" w:rsidRDefault="00A57FF9" w:rsidP="00A57FF9">
      <w:pPr>
        <w:pStyle w:val="ListParagraph"/>
        <w:ind w:left="1080"/>
        <w:jc w:val="both"/>
        <w:rPr>
          <w:b/>
          <w:bCs/>
        </w:rPr>
      </w:pPr>
    </w:p>
    <w:p w14:paraId="0440CF29" w14:textId="50ECB08A" w:rsidR="0020188D" w:rsidRPr="00A86BD1" w:rsidRDefault="0020188D" w:rsidP="00003787">
      <w:pPr>
        <w:pStyle w:val="ListParagraph"/>
        <w:numPr>
          <w:ilvl w:val="0"/>
          <w:numId w:val="1"/>
        </w:numPr>
        <w:rPr>
          <w:b/>
          <w:bCs/>
          <w:sz w:val="28"/>
          <w:szCs w:val="28"/>
        </w:rPr>
      </w:pPr>
      <w:r w:rsidRPr="00A86BD1">
        <w:rPr>
          <w:b/>
          <w:bCs/>
          <w:sz w:val="28"/>
          <w:szCs w:val="28"/>
        </w:rPr>
        <w:t>Quantity Structure (Financials)</w:t>
      </w:r>
    </w:p>
    <w:p w14:paraId="45581470" w14:textId="77777777" w:rsidR="0020188D" w:rsidRPr="00A86BD1" w:rsidRDefault="0020188D" w:rsidP="00003787">
      <w:pPr>
        <w:pStyle w:val="ListParagraph"/>
        <w:numPr>
          <w:ilvl w:val="0"/>
          <w:numId w:val="41"/>
        </w:numPr>
      </w:pPr>
      <w:r w:rsidRPr="00A86BD1">
        <w:rPr>
          <w:b/>
          <w:bCs/>
        </w:rPr>
        <w:t>Payment Schedule</w:t>
      </w:r>
      <w:r w:rsidRPr="00A86BD1">
        <w:t>:</w:t>
      </w:r>
    </w:p>
    <w:p w14:paraId="5F14EBE8" w14:textId="77777777" w:rsidR="0020188D" w:rsidRPr="00A86BD1" w:rsidRDefault="0020188D" w:rsidP="0056662A">
      <w:pPr>
        <w:ind w:left="360"/>
      </w:pPr>
      <w:r w:rsidRPr="00A86BD1">
        <w:t>Payments will be made in three installments via bank transfer (no advance payment) upon approval of deliverables:</w:t>
      </w:r>
    </w:p>
    <w:p w14:paraId="40AB0776" w14:textId="78CAC19D" w:rsidR="0020188D" w:rsidRPr="00A86BD1" w:rsidRDefault="0020188D" w:rsidP="0054102D">
      <w:pPr>
        <w:pStyle w:val="ListParagraph"/>
        <w:numPr>
          <w:ilvl w:val="0"/>
          <w:numId w:val="40"/>
        </w:numPr>
        <w:jc w:val="both"/>
      </w:pPr>
      <w:r w:rsidRPr="00A86BD1">
        <w:rPr>
          <w:b/>
          <w:bCs/>
        </w:rPr>
        <w:t>1st Installment:</w:t>
      </w:r>
      <w:r w:rsidRPr="00A86BD1">
        <w:t xml:space="preserve"> </w:t>
      </w:r>
      <w:r w:rsidR="0054102D" w:rsidRPr="00A86BD1">
        <w:t xml:space="preserve">After approval </w:t>
      </w:r>
      <w:r w:rsidRPr="00A86BD1">
        <w:t>of the Inception Report &amp; Data Collection Tools.</w:t>
      </w:r>
    </w:p>
    <w:p w14:paraId="7C4A0E15" w14:textId="06304FEE" w:rsidR="0020188D" w:rsidRPr="00A86BD1" w:rsidRDefault="0020188D" w:rsidP="00EA5B81">
      <w:pPr>
        <w:pStyle w:val="ListParagraph"/>
        <w:numPr>
          <w:ilvl w:val="0"/>
          <w:numId w:val="40"/>
        </w:numPr>
        <w:jc w:val="both"/>
      </w:pPr>
      <w:r w:rsidRPr="00A86BD1">
        <w:rPr>
          <w:b/>
          <w:bCs/>
        </w:rPr>
        <w:t>2nd Installment</w:t>
      </w:r>
      <w:r w:rsidRPr="00A86BD1">
        <w:t xml:space="preserve">: </w:t>
      </w:r>
      <w:r w:rsidR="00EA5B81" w:rsidRPr="00A86BD1">
        <w:t xml:space="preserve">After approval </w:t>
      </w:r>
      <w:r w:rsidRPr="00A86BD1">
        <w:t>of the Draft Evaluation Report &amp; Validation Workshop.</w:t>
      </w:r>
    </w:p>
    <w:p w14:paraId="400B4220" w14:textId="4FEF0788" w:rsidR="0020188D" w:rsidRPr="00A86BD1" w:rsidRDefault="0020188D" w:rsidP="006905E1">
      <w:pPr>
        <w:pStyle w:val="ListParagraph"/>
        <w:numPr>
          <w:ilvl w:val="0"/>
          <w:numId w:val="40"/>
        </w:numPr>
        <w:jc w:val="both"/>
      </w:pPr>
      <w:r w:rsidRPr="00A86BD1">
        <w:rPr>
          <w:b/>
          <w:bCs/>
        </w:rPr>
        <w:t>3rd Installment:</w:t>
      </w:r>
      <w:r w:rsidRPr="00A86BD1">
        <w:t xml:space="preserve"> </w:t>
      </w:r>
      <w:r w:rsidR="006905E1" w:rsidRPr="00A86BD1">
        <w:t xml:space="preserve">After approval </w:t>
      </w:r>
      <w:r w:rsidRPr="00A86BD1">
        <w:t>of the Final Evaluation Report, Brief Summary, and Knowledge Product.</w:t>
      </w:r>
    </w:p>
    <w:p w14:paraId="0AF4A144" w14:textId="77777777" w:rsidR="0020188D" w:rsidRPr="00A86BD1" w:rsidRDefault="0020188D" w:rsidP="00003787">
      <w:pPr>
        <w:pStyle w:val="ListParagraph"/>
        <w:numPr>
          <w:ilvl w:val="0"/>
          <w:numId w:val="40"/>
        </w:numPr>
        <w:jc w:val="both"/>
      </w:pPr>
      <w:r w:rsidRPr="00A86BD1">
        <w:t>Payments are processed within 30 to 45 working days from invoice submission.</w:t>
      </w:r>
    </w:p>
    <w:p w14:paraId="27A6238B" w14:textId="77777777" w:rsidR="00BC2A1B" w:rsidRPr="00A86BD1" w:rsidRDefault="00BC2A1B" w:rsidP="00BC2A1B">
      <w:pPr>
        <w:pStyle w:val="ListParagraph"/>
        <w:ind w:left="1080"/>
        <w:jc w:val="both"/>
      </w:pPr>
    </w:p>
    <w:p w14:paraId="7B504ADE" w14:textId="77777777" w:rsidR="00BC2A1B" w:rsidRDefault="00BC2A1B" w:rsidP="00BC2A1B">
      <w:pPr>
        <w:pStyle w:val="ListParagraph"/>
        <w:numPr>
          <w:ilvl w:val="0"/>
          <w:numId w:val="51"/>
        </w:numPr>
        <w:rPr>
          <w:b/>
          <w:bCs/>
        </w:rPr>
      </w:pPr>
      <w:r w:rsidRPr="00A86BD1">
        <w:rPr>
          <w:b/>
          <w:bCs/>
        </w:rPr>
        <w:t>Financial Proposal Template:</w:t>
      </w:r>
    </w:p>
    <w:p w14:paraId="4082F423" w14:textId="3E00DA6A" w:rsidR="00C459E6" w:rsidRDefault="00C459E6" w:rsidP="00C459E6">
      <w:pPr>
        <w:rPr>
          <w:b/>
          <w:bCs/>
          <w:rtl/>
        </w:rPr>
      </w:pPr>
      <w:r w:rsidRPr="00C459E6">
        <w:rPr>
          <w:b/>
          <w:bCs/>
        </w:rPr>
        <w:t>Professional Consultancy Service Fees</w:t>
      </w:r>
    </w:p>
    <w:tbl>
      <w:tblPr>
        <w:tblStyle w:val="TableGrid"/>
        <w:tblW w:w="10350" w:type="dxa"/>
        <w:tblInd w:w="-455" w:type="dxa"/>
        <w:tblLook w:val="04A0" w:firstRow="1" w:lastRow="0" w:firstColumn="1" w:lastColumn="0" w:noHBand="0" w:noVBand="1"/>
      </w:tblPr>
      <w:tblGrid>
        <w:gridCol w:w="4041"/>
        <w:gridCol w:w="1612"/>
        <w:gridCol w:w="1019"/>
        <w:gridCol w:w="1053"/>
        <w:gridCol w:w="1378"/>
        <w:gridCol w:w="1247"/>
      </w:tblGrid>
      <w:tr w:rsidR="00B04D59" w:rsidRPr="00B04D59" w14:paraId="33EE7EAB" w14:textId="77777777" w:rsidTr="00B04D59">
        <w:tc>
          <w:tcPr>
            <w:tcW w:w="4040" w:type="dxa"/>
            <w:vAlign w:val="center"/>
            <w:hideMark/>
          </w:tcPr>
          <w:p w14:paraId="2B5A9E78" w14:textId="77777777" w:rsidR="00B04D59" w:rsidRPr="00B04D59" w:rsidRDefault="00B04D59" w:rsidP="00B04D59">
            <w:pPr>
              <w:spacing w:after="160" w:line="278" w:lineRule="auto"/>
              <w:jc w:val="center"/>
              <w:rPr>
                <w:b/>
                <w:bCs/>
                <w:sz w:val="22"/>
                <w:szCs w:val="22"/>
              </w:rPr>
            </w:pPr>
            <w:r w:rsidRPr="00B04D59">
              <w:rPr>
                <w:b/>
                <w:bCs/>
                <w:sz w:val="22"/>
                <w:szCs w:val="22"/>
              </w:rPr>
              <w:t>Deliverables / Description</w:t>
            </w:r>
          </w:p>
        </w:tc>
        <w:tc>
          <w:tcPr>
            <w:tcW w:w="0" w:type="auto"/>
            <w:vAlign w:val="center"/>
            <w:hideMark/>
          </w:tcPr>
          <w:p w14:paraId="4E7E3A9C" w14:textId="77777777" w:rsidR="00B04D59" w:rsidRPr="00B04D59" w:rsidRDefault="00B04D59" w:rsidP="00B04D59">
            <w:pPr>
              <w:spacing w:after="160" w:line="278" w:lineRule="auto"/>
              <w:jc w:val="center"/>
              <w:rPr>
                <w:b/>
                <w:bCs/>
                <w:sz w:val="22"/>
                <w:szCs w:val="22"/>
              </w:rPr>
            </w:pPr>
            <w:r w:rsidRPr="00B04D59">
              <w:rPr>
                <w:b/>
                <w:bCs/>
                <w:sz w:val="22"/>
                <w:szCs w:val="22"/>
              </w:rPr>
              <w:t>Unit of Measure</w:t>
            </w:r>
          </w:p>
        </w:tc>
        <w:tc>
          <w:tcPr>
            <w:tcW w:w="0" w:type="auto"/>
            <w:vAlign w:val="center"/>
            <w:hideMark/>
          </w:tcPr>
          <w:p w14:paraId="5B9B446B" w14:textId="77777777" w:rsidR="00B04D59" w:rsidRPr="00B04D59" w:rsidRDefault="00B04D59" w:rsidP="00B04D59">
            <w:pPr>
              <w:spacing w:after="160" w:line="278" w:lineRule="auto"/>
              <w:jc w:val="center"/>
              <w:rPr>
                <w:b/>
                <w:bCs/>
                <w:sz w:val="22"/>
                <w:szCs w:val="22"/>
              </w:rPr>
            </w:pPr>
            <w:r w:rsidRPr="00B04D59">
              <w:rPr>
                <w:b/>
                <w:bCs/>
                <w:sz w:val="22"/>
                <w:szCs w:val="22"/>
              </w:rPr>
              <w:t>Quantity</w:t>
            </w:r>
          </w:p>
        </w:tc>
        <w:tc>
          <w:tcPr>
            <w:tcW w:w="0" w:type="auto"/>
            <w:vAlign w:val="center"/>
            <w:hideMark/>
          </w:tcPr>
          <w:p w14:paraId="6E9C9D3A" w14:textId="77777777" w:rsidR="00B04D59" w:rsidRPr="00B04D59" w:rsidRDefault="00B04D59" w:rsidP="00B04D59">
            <w:pPr>
              <w:spacing w:after="160" w:line="278" w:lineRule="auto"/>
              <w:jc w:val="center"/>
              <w:rPr>
                <w:b/>
                <w:bCs/>
                <w:sz w:val="22"/>
                <w:szCs w:val="22"/>
              </w:rPr>
            </w:pPr>
            <w:r w:rsidRPr="00B04D59">
              <w:rPr>
                <w:b/>
                <w:bCs/>
                <w:sz w:val="22"/>
                <w:szCs w:val="22"/>
              </w:rPr>
              <w:t>Unit Price</w:t>
            </w:r>
          </w:p>
        </w:tc>
        <w:tc>
          <w:tcPr>
            <w:tcW w:w="0" w:type="auto"/>
            <w:vAlign w:val="center"/>
            <w:hideMark/>
          </w:tcPr>
          <w:p w14:paraId="0948AA8B" w14:textId="77777777" w:rsidR="00B04D59" w:rsidRPr="00B04D59" w:rsidRDefault="00B04D59" w:rsidP="00B04D59">
            <w:pPr>
              <w:spacing w:after="160" w:line="278" w:lineRule="auto"/>
              <w:jc w:val="center"/>
              <w:rPr>
                <w:b/>
                <w:bCs/>
                <w:sz w:val="22"/>
                <w:szCs w:val="22"/>
              </w:rPr>
            </w:pPr>
            <w:r w:rsidRPr="00B04D59">
              <w:rPr>
                <w:b/>
                <w:bCs/>
                <w:sz w:val="22"/>
                <w:szCs w:val="22"/>
              </w:rPr>
              <w:t>Level of Effort</w:t>
            </w:r>
          </w:p>
        </w:tc>
        <w:tc>
          <w:tcPr>
            <w:tcW w:w="1247" w:type="dxa"/>
            <w:vAlign w:val="center"/>
            <w:hideMark/>
          </w:tcPr>
          <w:p w14:paraId="43C33C56" w14:textId="77777777" w:rsidR="00B04D59" w:rsidRPr="00B04D59" w:rsidRDefault="00B04D59" w:rsidP="00B04D59">
            <w:pPr>
              <w:spacing w:after="160" w:line="278" w:lineRule="auto"/>
              <w:jc w:val="center"/>
              <w:rPr>
                <w:b/>
                <w:bCs/>
                <w:sz w:val="22"/>
                <w:szCs w:val="22"/>
              </w:rPr>
            </w:pPr>
            <w:r w:rsidRPr="00B04D59">
              <w:rPr>
                <w:b/>
                <w:bCs/>
                <w:sz w:val="22"/>
                <w:szCs w:val="22"/>
              </w:rPr>
              <w:t>Total</w:t>
            </w:r>
          </w:p>
        </w:tc>
      </w:tr>
      <w:tr w:rsidR="00B04D59" w:rsidRPr="00B04D59" w14:paraId="5ECC02D1" w14:textId="77777777" w:rsidTr="00B04D59">
        <w:tc>
          <w:tcPr>
            <w:tcW w:w="4040" w:type="dxa"/>
            <w:vAlign w:val="center"/>
            <w:hideMark/>
          </w:tcPr>
          <w:p w14:paraId="5F7E2E47" w14:textId="77777777" w:rsidR="00B04D59" w:rsidRPr="00B04D59" w:rsidRDefault="00B04D59" w:rsidP="00B04D59">
            <w:pPr>
              <w:spacing w:after="160" w:line="278" w:lineRule="auto"/>
              <w:jc w:val="center"/>
              <w:rPr>
                <w:sz w:val="20"/>
                <w:szCs w:val="20"/>
              </w:rPr>
            </w:pPr>
            <w:r w:rsidRPr="00B04D59">
              <w:rPr>
                <w:sz w:val="20"/>
                <w:szCs w:val="20"/>
              </w:rPr>
              <w:t>Inception Report (including Work Plan)</w:t>
            </w:r>
          </w:p>
        </w:tc>
        <w:tc>
          <w:tcPr>
            <w:tcW w:w="0" w:type="auto"/>
            <w:vAlign w:val="center"/>
            <w:hideMark/>
          </w:tcPr>
          <w:p w14:paraId="06C23090" w14:textId="77777777" w:rsidR="00B04D59" w:rsidRPr="00B04D59" w:rsidRDefault="00B04D59" w:rsidP="00B04D59">
            <w:pPr>
              <w:spacing w:after="160" w:line="278" w:lineRule="auto"/>
              <w:jc w:val="center"/>
              <w:rPr>
                <w:sz w:val="20"/>
                <w:szCs w:val="20"/>
              </w:rPr>
            </w:pPr>
            <w:r w:rsidRPr="00B04D59">
              <w:rPr>
                <w:sz w:val="20"/>
                <w:szCs w:val="20"/>
              </w:rPr>
              <w:t>Days</w:t>
            </w:r>
          </w:p>
        </w:tc>
        <w:tc>
          <w:tcPr>
            <w:tcW w:w="0" w:type="auto"/>
            <w:vAlign w:val="center"/>
            <w:hideMark/>
          </w:tcPr>
          <w:p w14:paraId="62CDC4D3" w14:textId="77777777" w:rsidR="00B04D59" w:rsidRPr="00B04D59" w:rsidRDefault="00B04D59" w:rsidP="00B04D59">
            <w:pPr>
              <w:spacing w:after="160" w:line="278" w:lineRule="auto"/>
              <w:jc w:val="center"/>
              <w:rPr>
                <w:sz w:val="20"/>
                <w:szCs w:val="20"/>
              </w:rPr>
            </w:pPr>
            <w:r w:rsidRPr="00B04D59">
              <w:rPr>
                <w:sz w:val="20"/>
                <w:szCs w:val="20"/>
              </w:rPr>
              <w:t>10</w:t>
            </w:r>
          </w:p>
        </w:tc>
        <w:tc>
          <w:tcPr>
            <w:tcW w:w="0" w:type="auto"/>
            <w:vAlign w:val="center"/>
            <w:hideMark/>
          </w:tcPr>
          <w:p w14:paraId="0B04BB8E" w14:textId="77777777" w:rsidR="00B04D59" w:rsidRPr="00B04D59" w:rsidRDefault="00B04D59" w:rsidP="00B04D59">
            <w:pPr>
              <w:spacing w:after="160" w:line="278" w:lineRule="auto"/>
              <w:jc w:val="center"/>
              <w:rPr>
                <w:b/>
                <w:bCs/>
                <w:sz w:val="20"/>
                <w:szCs w:val="20"/>
              </w:rPr>
            </w:pPr>
          </w:p>
        </w:tc>
        <w:tc>
          <w:tcPr>
            <w:tcW w:w="0" w:type="auto"/>
            <w:vAlign w:val="center"/>
            <w:hideMark/>
          </w:tcPr>
          <w:p w14:paraId="4F9BF573" w14:textId="77777777" w:rsidR="00B04D59" w:rsidRPr="00B04D59" w:rsidRDefault="00B04D59" w:rsidP="00B04D59">
            <w:pPr>
              <w:spacing w:after="160" w:line="278" w:lineRule="auto"/>
              <w:jc w:val="center"/>
              <w:rPr>
                <w:b/>
                <w:bCs/>
                <w:sz w:val="20"/>
                <w:szCs w:val="20"/>
              </w:rPr>
            </w:pPr>
          </w:p>
        </w:tc>
        <w:tc>
          <w:tcPr>
            <w:tcW w:w="1247" w:type="dxa"/>
            <w:vAlign w:val="center"/>
            <w:hideMark/>
          </w:tcPr>
          <w:p w14:paraId="2D2425D4" w14:textId="77777777" w:rsidR="00B04D59" w:rsidRPr="00B04D59" w:rsidRDefault="00B04D59" w:rsidP="00B04D59">
            <w:pPr>
              <w:spacing w:after="160" w:line="278" w:lineRule="auto"/>
              <w:jc w:val="center"/>
              <w:rPr>
                <w:b/>
                <w:bCs/>
                <w:sz w:val="20"/>
                <w:szCs w:val="20"/>
              </w:rPr>
            </w:pPr>
          </w:p>
        </w:tc>
      </w:tr>
      <w:tr w:rsidR="00B04D59" w:rsidRPr="00B04D59" w14:paraId="156A86C1" w14:textId="77777777" w:rsidTr="00B04D59">
        <w:tc>
          <w:tcPr>
            <w:tcW w:w="4040" w:type="dxa"/>
            <w:vAlign w:val="center"/>
            <w:hideMark/>
          </w:tcPr>
          <w:p w14:paraId="5394ECBB" w14:textId="77777777" w:rsidR="00B04D59" w:rsidRPr="00B04D59" w:rsidRDefault="00B04D59" w:rsidP="00B04D59">
            <w:pPr>
              <w:spacing w:after="160" w:line="278" w:lineRule="auto"/>
              <w:jc w:val="center"/>
              <w:rPr>
                <w:sz w:val="20"/>
                <w:szCs w:val="20"/>
              </w:rPr>
            </w:pPr>
            <w:r w:rsidRPr="00B04D59">
              <w:rPr>
                <w:sz w:val="20"/>
                <w:szCs w:val="20"/>
              </w:rPr>
              <w:t>Draft Final Evaluation Report and Raw Data</w:t>
            </w:r>
          </w:p>
        </w:tc>
        <w:tc>
          <w:tcPr>
            <w:tcW w:w="0" w:type="auto"/>
            <w:vAlign w:val="center"/>
            <w:hideMark/>
          </w:tcPr>
          <w:p w14:paraId="134AB5DA" w14:textId="77777777" w:rsidR="00B04D59" w:rsidRPr="00B04D59" w:rsidRDefault="00B04D59" w:rsidP="00B04D59">
            <w:pPr>
              <w:spacing w:after="160" w:line="278" w:lineRule="auto"/>
              <w:jc w:val="center"/>
              <w:rPr>
                <w:sz w:val="20"/>
                <w:szCs w:val="20"/>
              </w:rPr>
            </w:pPr>
            <w:r w:rsidRPr="00B04D59">
              <w:rPr>
                <w:sz w:val="20"/>
                <w:szCs w:val="20"/>
              </w:rPr>
              <w:t>Days</w:t>
            </w:r>
          </w:p>
        </w:tc>
        <w:tc>
          <w:tcPr>
            <w:tcW w:w="0" w:type="auto"/>
            <w:vAlign w:val="center"/>
            <w:hideMark/>
          </w:tcPr>
          <w:p w14:paraId="342F1F99" w14:textId="77777777" w:rsidR="00B04D59" w:rsidRPr="00B04D59" w:rsidRDefault="00B04D59" w:rsidP="00B04D59">
            <w:pPr>
              <w:spacing w:after="160" w:line="278" w:lineRule="auto"/>
              <w:jc w:val="center"/>
              <w:rPr>
                <w:sz w:val="20"/>
                <w:szCs w:val="20"/>
              </w:rPr>
            </w:pPr>
            <w:r w:rsidRPr="00B04D59">
              <w:rPr>
                <w:sz w:val="20"/>
                <w:szCs w:val="20"/>
              </w:rPr>
              <w:t>20</w:t>
            </w:r>
          </w:p>
        </w:tc>
        <w:tc>
          <w:tcPr>
            <w:tcW w:w="0" w:type="auto"/>
            <w:vAlign w:val="center"/>
            <w:hideMark/>
          </w:tcPr>
          <w:p w14:paraId="0EDBFB4A" w14:textId="77777777" w:rsidR="00B04D59" w:rsidRPr="00B04D59" w:rsidRDefault="00B04D59" w:rsidP="00B04D59">
            <w:pPr>
              <w:spacing w:after="160" w:line="278" w:lineRule="auto"/>
              <w:jc w:val="center"/>
              <w:rPr>
                <w:b/>
                <w:bCs/>
                <w:sz w:val="20"/>
                <w:szCs w:val="20"/>
              </w:rPr>
            </w:pPr>
          </w:p>
        </w:tc>
        <w:tc>
          <w:tcPr>
            <w:tcW w:w="0" w:type="auto"/>
            <w:vAlign w:val="center"/>
            <w:hideMark/>
          </w:tcPr>
          <w:p w14:paraId="2843FD08" w14:textId="77777777" w:rsidR="00B04D59" w:rsidRPr="00B04D59" w:rsidRDefault="00B04D59" w:rsidP="00B04D59">
            <w:pPr>
              <w:spacing w:after="160" w:line="278" w:lineRule="auto"/>
              <w:jc w:val="center"/>
              <w:rPr>
                <w:b/>
                <w:bCs/>
                <w:sz w:val="20"/>
                <w:szCs w:val="20"/>
              </w:rPr>
            </w:pPr>
          </w:p>
        </w:tc>
        <w:tc>
          <w:tcPr>
            <w:tcW w:w="1247" w:type="dxa"/>
            <w:vAlign w:val="center"/>
            <w:hideMark/>
          </w:tcPr>
          <w:p w14:paraId="534EE9C2" w14:textId="77777777" w:rsidR="00B04D59" w:rsidRPr="00B04D59" w:rsidRDefault="00B04D59" w:rsidP="00B04D59">
            <w:pPr>
              <w:spacing w:after="160" w:line="278" w:lineRule="auto"/>
              <w:jc w:val="center"/>
              <w:rPr>
                <w:b/>
                <w:bCs/>
                <w:sz w:val="20"/>
                <w:szCs w:val="20"/>
              </w:rPr>
            </w:pPr>
          </w:p>
        </w:tc>
      </w:tr>
      <w:tr w:rsidR="00B04D59" w:rsidRPr="00B04D59" w14:paraId="4863D9E5" w14:textId="77777777" w:rsidTr="00B04D59">
        <w:tc>
          <w:tcPr>
            <w:tcW w:w="4040" w:type="dxa"/>
            <w:vAlign w:val="center"/>
            <w:hideMark/>
          </w:tcPr>
          <w:p w14:paraId="32C05455" w14:textId="77777777" w:rsidR="00B04D59" w:rsidRPr="00B04D59" w:rsidRDefault="00B04D59" w:rsidP="00B04D59">
            <w:pPr>
              <w:spacing w:after="160" w:line="278" w:lineRule="auto"/>
              <w:jc w:val="center"/>
              <w:rPr>
                <w:sz w:val="20"/>
                <w:szCs w:val="20"/>
              </w:rPr>
            </w:pPr>
            <w:r w:rsidRPr="00B04D59">
              <w:rPr>
                <w:sz w:val="20"/>
                <w:szCs w:val="20"/>
              </w:rPr>
              <w:t>Final Consolidated Report and Presentation</w:t>
            </w:r>
          </w:p>
        </w:tc>
        <w:tc>
          <w:tcPr>
            <w:tcW w:w="0" w:type="auto"/>
            <w:vAlign w:val="center"/>
            <w:hideMark/>
          </w:tcPr>
          <w:p w14:paraId="17701FE4" w14:textId="77777777" w:rsidR="00B04D59" w:rsidRPr="00B04D59" w:rsidRDefault="00B04D59" w:rsidP="00B04D59">
            <w:pPr>
              <w:spacing w:after="160" w:line="278" w:lineRule="auto"/>
              <w:jc w:val="center"/>
              <w:rPr>
                <w:sz w:val="20"/>
                <w:szCs w:val="20"/>
              </w:rPr>
            </w:pPr>
            <w:r w:rsidRPr="00B04D59">
              <w:rPr>
                <w:sz w:val="20"/>
                <w:szCs w:val="20"/>
              </w:rPr>
              <w:t>Days</w:t>
            </w:r>
          </w:p>
        </w:tc>
        <w:tc>
          <w:tcPr>
            <w:tcW w:w="0" w:type="auto"/>
            <w:vAlign w:val="center"/>
            <w:hideMark/>
          </w:tcPr>
          <w:p w14:paraId="43842D98" w14:textId="77777777" w:rsidR="00B04D59" w:rsidRPr="00B04D59" w:rsidRDefault="00B04D59" w:rsidP="00B04D59">
            <w:pPr>
              <w:spacing w:after="160" w:line="278" w:lineRule="auto"/>
              <w:jc w:val="center"/>
              <w:rPr>
                <w:sz w:val="20"/>
                <w:szCs w:val="20"/>
              </w:rPr>
            </w:pPr>
            <w:r w:rsidRPr="00B04D59">
              <w:rPr>
                <w:sz w:val="20"/>
                <w:szCs w:val="20"/>
              </w:rPr>
              <w:t>15</w:t>
            </w:r>
          </w:p>
        </w:tc>
        <w:tc>
          <w:tcPr>
            <w:tcW w:w="0" w:type="auto"/>
            <w:vAlign w:val="center"/>
            <w:hideMark/>
          </w:tcPr>
          <w:p w14:paraId="40D5E9CC" w14:textId="77777777" w:rsidR="00B04D59" w:rsidRPr="00B04D59" w:rsidRDefault="00B04D59" w:rsidP="00B04D59">
            <w:pPr>
              <w:spacing w:after="160" w:line="278" w:lineRule="auto"/>
              <w:jc w:val="center"/>
              <w:rPr>
                <w:b/>
                <w:bCs/>
                <w:sz w:val="20"/>
                <w:szCs w:val="20"/>
              </w:rPr>
            </w:pPr>
          </w:p>
        </w:tc>
        <w:tc>
          <w:tcPr>
            <w:tcW w:w="0" w:type="auto"/>
            <w:vAlign w:val="center"/>
            <w:hideMark/>
          </w:tcPr>
          <w:p w14:paraId="69771F2F" w14:textId="77777777" w:rsidR="00B04D59" w:rsidRPr="00B04D59" w:rsidRDefault="00B04D59" w:rsidP="00B04D59">
            <w:pPr>
              <w:spacing w:after="160" w:line="278" w:lineRule="auto"/>
              <w:jc w:val="center"/>
              <w:rPr>
                <w:b/>
                <w:bCs/>
                <w:sz w:val="20"/>
                <w:szCs w:val="20"/>
              </w:rPr>
            </w:pPr>
          </w:p>
        </w:tc>
        <w:tc>
          <w:tcPr>
            <w:tcW w:w="1247" w:type="dxa"/>
            <w:vAlign w:val="center"/>
            <w:hideMark/>
          </w:tcPr>
          <w:p w14:paraId="19F43361" w14:textId="77777777" w:rsidR="00B04D59" w:rsidRPr="00B04D59" w:rsidRDefault="00B04D59" w:rsidP="00B04D59">
            <w:pPr>
              <w:spacing w:after="160" w:line="278" w:lineRule="auto"/>
              <w:jc w:val="center"/>
              <w:rPr>
                <w:b/>
                <w:bCs/>
                <w:sz w:val="20"/>
                <w:szCs w:val="20"/>
              </w:rPr>
            </w:pPr>
          </w:p>
        </w:tc>
      </w:tr>
    </w:tbl>
    <w:p w14:paraId="2F116D97" w14:textId="77777777" w:rsidR="00B04D59" w:rsidRPr="00C874A6" w:rsidRDefault="00B04D59" w:rsidP="00C459E6">
      <w:pPr>
        <w:rPr>
          <w:b/>
          <w:bCs/>
          <w:sz w:val="20"/>
          <w:szCs w:val="20"/>
        </w:rPr>
      </w:pPr>
    </w:p>
    <w:p w14:paraId="5255317D" w14:textId="77777777" w:rsidR="00BC2A1B" w:rsidRPr="00A86BD1" w:rsidRDefault="00BC2A1B" w:rsidP="00BC2A1B">
      <w:r w:rsidRPr="00A86BD1">
        <w:t>The consultant is required to submit the financial offer using the following table format:</w:t>
      </w:r>
    </w:p>
    <w:tbl>
      <w:tblPr>
        <w:tblStyle w:val="TableGrid"/>
        <w:tblW w:w="0" w:type="auto"/>
        <w:tblLook w:val="04A0" w:firstRow="1" w:lastRow="0" w:firstColumn="1" w:lastColumn="0" w:noHBand="0" w:noVBand="1"/>
      </w:tblPr>
      <w:tblGrid>
        <w:gridCol w:w="1870"/>
        <w:gridCol w:w="1870"/>
        <w:gridCol w:w="1870"/>
        <w:gridCol w:w="1870"/>
        <w:gridCol w:w="1870"/>
      </w:tblGrid>
      <w:tr w:rsidR="006046B1" w:rsidRPr="00A86BD1" w14:paraId="1A74DBAE" w14:textId="77777777" w:rsidTr="006046B1">
        <w:tc>
          <w:tcPr>
            <w:tcW w:w="1870" w:type="dxa"/>
            <w:vAlign w:val="center"/>
          </w:tcPr>
          <w:p w14:paraId="3B84C0D9" w14:textId="0FEE5359" w:rsidR="006046B1" w:rsidRPr="00A86BD1" w:rsidRDefault="006046B1" w:rsidP="006046B1">
            <w:pPr>
              <w:jc w:val="center"/>
              <w:rPr>
                <w:b/>
                <w:bCs/>
              </w:rPr>
            </w:pPr>
            <w:r w:rsidRPr="00A86BD1">
              <w:rPr>
                <w:b/>
                <w:bCs/>
              </w:rPr>
              <w:t>Item / Description</w:t>
            </w:r>
          </w:p>
        </w:tc>
        <w:tc>
          <w:tcPr>
            <w:tcW w:w="1870" w:type="dxa"/>
            <w:vAlign w:val="center"/>
          </w:tcPr>
          <w:p w14:paraId="6EE71801" w14:textId="4500287E" w:rsidR="006046B1" w:rsidRPr="00A86BD1" w:rsidRDefault="006046B1" w:rsidP="006046B1">
            <w:pPr>
              <w:jc w:val="center"/>
              <w:rPr>
                <w:b/>
                <w:bCs/>
              </w:rPr>
            </w:pPr>
            <w:r w:rsidRPr="00A86BD1">
              <w:rPr>
                <w:b/>
                <w:bCs/>
              </w:rPr>
              <w:t>Unit</w:t>
            </w:r>
          </w:p>
        </w:tc>
        <w:tc>
          <w:tcPr>
            <w:tcW w:w="1870" w:type="dxa"/>
            <w:vAlign w:val="center"/>
          </w:tcPr>
          <w:p w14:paraId="3290C0AC" w14:textId="321E353A" w:rsidR="006046B1" w:rsidRPr="00A86BD1" w:rsidRDefault="006046B1" w:rsidP="006046B1">
            <w:pPr>
              <w:jc w:val="center"/>
              <w:rPr>
                <w:b/>
                <w:bCs/>
              </w:rPr>
            </w:pPr>
            <w:r w:rsidRPr="00A86BD1">
              <w:rPr>
                <w:b/>
                <w:bCs/>
              </w:rPr>
              <w:t>Quantity (Days)</w:t>
            </w:r>
          </w:p>
        </w:tc>
        <w:tc>
          <w:tcPr>
            <w:tcW w:w="1870" w:type="dxa"/>
            <w:vAlign w:val="center"/>
          </w:tcPr>
          <w:p w14:paraId="763C45F2" w14:textId="4BECC88A" w:rsidR="006046B1" w:rsidRPr="00A86BD1" w:rsidRDefault="006046B1" w:rsidP="006046B1">
            <w:pPr>
              <w:jc w:val="center"/>
              <w:rPr>
                <w:b/>
                <w:bCs/>
              </w:rPr>
            </w:pPr>
            <w:r w:rsidRPr="00A86BD1">
              <w:rPr>
                <w:b/>
                <w:bCs/>
              </w:rPr>
              <w:t>Daily Rate (EGP)</w:t>
            </w:r>
          </w:p>
        </w:tc>
        <w:tc>
          <w:tcPr>
            <w:tcW w:w="1870" w:type="dxa"/>
            <w:vAlign w:val="center"/>
          </w:tcPr>
          <w:p w14:paraId="01544F5A" w14:textId="55D62123" w:rsidR="006046B1" w:rsidRPr="00A86BD1" w:rsidRDefault="006046B1" w:rsidP="006046B1">
            <w:pPr>
              <w:jc w:val="center"/>
              <w:rPr>
                <w:b/>
                <w:bCs/>
              </w:rPr>
            </w:pPr>
            <w:r w:rsidRPr="00A86BD1">
              <w:rPr>
                <w:b/>
                <w:bCs/>
              </w:rPr>
              <w:t>Total (EGP)</w:t>
            </w:r>
          </w:p>
        </w:tc>
      </w:tr>
      <w:tr w:rsidR="006046B1" w:rsidRPr="00A86BD1" w14:paraId="35030B33" w14:textId="77777777" w:rsidTr="006046B1">
        <w:tc>
          <w:tcPr>
            <w:tcW w:w="1870" w:type="dxa"/>
          </w:tcPr>
          <w:p w14:paraId="101C6D98" w14:textId="77777777" w:rsidR="006046B1" w:rsidRPr="00A86BD1" w:rsidRDefault="006046B1" w:rsidP="00BC2A1B"/>
        </w:tc>
        <w:tc>
          <w:tcPr>
            <w:tcW w:w="1870" w:type="dxa"/>
          </w:tcPr>
          <w:p w14:paraId="2DA514DB" w14:textId="77777777" w:rsidR="006046B1" w:rsidRPr="00A86BD1" w:rsidRDefault="006046B1" w:rsidP="00BC2A1B"/>
        </w:tc>
        <w:tc>
          <w:tcPr>
            <w:tcW w:w="1870" w:type="dxa"/>
          </w:tcPr>
          <w:p w14:paraId="311DF355" w14:textId="77777777" w:rsidR="006046B1" w:rsidRPr="00A86BD1" w:rsidRDefault="006046B1" w:rsidP="00BC2A1B"/>
        </w:tc>
        <w:tc>
          <w:tcPr>
            <w:tcW w:w="1870" w:type="dxa"/>
          </w:tcPr>
          <w:p w14:paraId="650CD6EF" w14:textId="77777777" w:rsidR="006046B1" w:rsidRPr="00A86BD1" w:rsidRDefault="006046B1" w:rsidP="00BC2A1B"/>
        </w:tc>
        <w:tc>
          <w:tcPr>
            <w:tcW w:w="1870" w:type="dxa"/>
          </w:tcPr>
          <w:p w14:paraId="389E8938" w14:textId="77777777" w:rsidR="006046B1" w:rsidRPr="00A86BD1" w:rsidRDefault="006046B1" w:rsidP="00BC2A1B"/>
        </w:tc>
      </w:tr>
      <w:tr w:rsidR="00E755C2" w:rsidRPr="00A86BD1" w14:paraId="73D9DA42" w14:textId="77777777" w:rsidTr="006046B1">
        <w:tc>
          <w:tcPr>
            <w:tcW w:w="1870" w:type="dxa"/>
          </w:tcPr>
          <w:p w14:paraId="341FA95D" w14:textId="77777777" w:rsidR="00E755C2" w:rsidRPr="00A86BD1" w:rsidRDefault="00E755C2" w:rsidP="00BC2A1B"/>
        </w:tc>
        <w:tc>
          <w:tcPr>
            <w:tcW w:w="1870" w:type="dxa"/>
          </w:tcPr>
          <w:p w14:paraId="3DB111C7" w14:textId="77777777" w:rsidR="00E755C2" w:rsidRPr="00A86BD1" w:rsidRDefault="00E755C2" w:rsidP="00BC2A1B"/>
        </w:tc>
        <w:tc>
          <w:tcPr>
            <w:tcW w:w="1870" w:type="dxa"/>
          </w:tcPr>
          <w:p w14:paraId="4D03D396" w14:textId="77777777" w:rsidR="00E755C2" w:rsidRPr="00A86BD1" w:rsidRDefault="00E755C2" w:rsidP="00BC2A1B"/>
        </w:tc>
        <w:tc>
          <w:tcPr>
            <w:tcW w:w="1870" w:type="dxa"/>
          </w:tcPr>
          <w:p w14:paraId="26D90898" w14:textId="77777777" w:rsidR="00E755C2" w:rsidRPr="00A86BD1" w:rsidRDefault="00E755C2" w:rsidP="00BC2A1B"/>
        </w:tc>
        <w:tc>
          <w:tcPr>
            <w:tcW w:w="1870" w:type="dxa"/>
          </w:tcPr>
          <w:p w14:paraId="6F2B86A8" w14:textId="77777777" w:rsidR="00E755C2" w:rsidRPr="00A86BD1" w:rsidRDefault="00E755C2" w:rsidP="00BC2A1B"/>
        </w:tc>
      </w:tr>
      <w:tr w:rsidR="00E755C2" w:rsidRPr="00A86BD1" w14:paraId="502B6AF6" w14:textId="77777777" w:rsidTr="006046B1">
        <w:tc>
          <w:tcPr>
            <w:tcW w:w="1870" w:type="dxa"/>
          </w:tcPr>
          <w:p w14:paraId="621E7F36" w14:textId="77777777" w:rsidR="00E755C2" w:rsidRPr="00A86BD1" w:rsidRDefault="00E755C2" w:rsidP="00BC2A1B"/>
        </w:tc>
        <w:tc>
          <w:tcPr>
            <w:tcW w:w="1870" w:type="dxa"/>
          </w:tcPr>
          <w:p w14:paraId="47031C53" w14:textId="77777777" w:rsidR="00E755C2" w:rsidRPr="00A86BD1" w:rsidRDefault="00E755C2" w:rsidP="00BC2A1B"/>
        </w:tc>
        <w:tc>
          <w:tcPr>
            <w:tcW w:w="1870" w:type="dxa"/>
          </w:tcPr>
          <w:p w14:paraId="5D627098" w14:textId="77777777" w:rsidR="00E755C2" w:rsidRPr="00A86BD1" w:rsidRDefault="00E755C2" w:rsidP="00BC2A1B"/>
        </w:tc>
        <w:tc>
          <w:tcPr>
            <w:tcW w:w="1870" w:type="dxa"/>
          </w:tcPr>
          <w:p w14:paraId="24866C42" w14:textId="77777777" w:rsidR="00E755C2" w:rsidRPr="00A86BD1" w:rsidRDefault="00E755C2" w:rsidP="00BC2A1B"/>
        </w:tc>
        <w:tc>
          <w:tcPr>
            <w:tcW w:w="1870" w:type="dxa"/>
          </w:tcPr>
          <w:p w14:paraId="53F3EF2D" w14:textId="77777777" w:rsidR="00E755C2" w:rsidRPr="00A86BD1" w:rsidRDefault="00E755C2" w:rsidP="00BC2A1B"/>
        </w:tc>
      </w:tr>
      <w:tr w:rsidR="00E755C2" w:rsidRPr="00A86BD1" w14:paraId="3EB675EE" w14:textId="77777777" w:rsidTr="006046B1">
        <w:tc>
          <w:tcPr>
            <w:tcW w:w="1870" w:type="dxa"/>
          </w:tcPr>
          <w:p w14:paraId="77F8DB23" w14:textId="77777777" w:rsidR="00E755C2" w:rsidRPr="00A86BD1" w:rsidRDefault="00E755C2" w:rsidP="00BC2A1B"/>
        </w:tc>
        <w:tc>
          <w:tcPr>
            <w:tcW w:w="1870" w:type="dxa"/>
          </w:tcPr>
          <w:p w14:paraId="20FBC886" w14:textId="77777777" w:rsidR="00E755C2" w:rsidRPr="00A86BD1" w:rsidRDefault="00E755C2" w:rsidP="00BC2A1B"/>
        </w:tc>
        <w:tc>
          <w:tcPr>
            <w:tcW w:w="1870" w:type="dxa"/>
          </w:tcPr>
          <w:p w14:paraId="76488B6D" w14:textId="77777777" w:rsidR="00E755C2" w:rsidRPr="00A86BD1" w:rsidRDefault="00E755C2" w:rsidP="00BC2A1B"/>
        </w:tc>
        <w:tc>
          <w:tcPr>
            <w:tcW w:w="1870" w:type="dxa"/>
          </w:tcPr>
          <w:p w14:paraId="5819D121" w14:textId="77777777" w:rsidR="00E755C2" w:rsidRPr="00A86BD1" w:rsidRDefault="00E755C2" w:rsidP="00BC2A1B"/>
        </w:tc>
        <w:tc>
          <w:tcPr>
            <w:tcW w:w="1870" w:type="dxa"/>
          </w:tcPr>
          <w:p w14:paraId="7178B4A1" w14:textId="77777777" w:rsidR="00E755C2" w:rsidRPr="00A86BD1" w:rsidRDefault="00E755C2" w:rsidP="00BC2A1B"/>
        </w:tc>
      </w:tr>
    </w:tbl>
    <w:p w14:paraId="5BE86C1F" w14:textId="77777777" w:rsidR="00BC2A1B" w:rsidRPr="00A86BD1" w:rsidRDefault="00BC2A1B" w:rsidP="00BC2A1B"/>
    <w:p w14:paraId="65DB66CC" w14:textId="77777777" w:rsidR="0020188D" w:rsidRPr="00A86BD1" w:rsidRDefault="0020188D" w:rsidP="00003787">
      <w:pPr>
        <w:pStyle w:val="ListParagraph"/>
        <w:numPr>
          <w:ilvl w:val="0"/>
          <w:numId w:val="42"/>
        </w:numPr>
        <w:rPr>
          <w:b/>
          <w:bCs/>
        </w:rPr>
      </w:pPr>
      <w:r w:rsidRPr="00A86BD1">
        <w:rPr>
          <w:b/>
          <w:bCs/>
        </w:rPr>
        <w:t>Professional Service Fees:</w:t>
      </w:r>
    </w:p>
    <w:tbl>
      <w:tblPr>
        <w:tblStyle w:val="TableGrid"/>
        <w:tblW w:w="9364" w:type="dxa"/>
        <w:tblLook w:val="04A0" w:firstRow="1" w:lastRow="0" w:firstColumn="1" w:lastColumn="0" w:noHBand="0" w:noVBand="1"/>
      </w:tblPr>
      <w:tblGrid>
        <w:gridCol w:w="5235"/>
        <w:gridCol w:w="1455"/>
        <w:gridCol w:w="2674"/>
      </w:tblGrid>
      <w:tr w:rsidR="00C04F67" w:rsidRPr="00A86BD1" w14:paraId="0805FC46" w14:textId="301F7BB2" w:rsidTr="00C04F67">
        <w:trPr>
          <w:trHeight w:val="332"/>
        </w:trPr>
        <w:tc>
          <w:tcPr>
            <w:tcW w:w="5235" w:type="dxa"/>
            <w:vAlign w:val="center"/>
            <w:hideMark/>
          </w:tcPr>
          <w:p w14:paraId="7C5FF4DF" w14:textId="77777777" w:rsidR="00C04F67" w:rsidRPr="00A86BD1" w:rsidRDefault="00C04F67" w:rsidP="002A5F98">
            <w:pPr>
              <w:spacing w:after="160" w:line="278" w:lineRule="auto"/>
              <w:ind w:left="360"/>
              <w:jc w:val="center"/>
              <w:rPr>
                <w:b/>
                <w:bCs/>
              </w:rPr>
            </w:pPr>
            <w:r w:rsidRPr="00A86BD1">
              <w:rPr>
                <w:b/>
                <w:bCs/>
              </w:rPr>
              <w:t>Deliverables / Description</w:t>
            </w:r>
          </w:p>
        </w:tc>
        <w:tc>
          <w:tcPr>
            <w:tcW w:w="1455" w:type="dxa"/>
            <w:vAlign w:val="center"/>
            <w:hideMark/>
          </w:tcPr>
          <w:p w14:paraId="08420ADF" w14:textId="77777777" w:rsidR="00C04F67" w:rsidRPr="00A86BD1" w:rsidRDefault="00C04F67" w:rsidP="00415C3A">
            <w:pPr>
              <w:spacing w:after="160" w:line="278" w:lineRule="auto"/>
              <w:ind w:left="360"/>
              <w:jc w:val="center"/>
              <w:rPr>
                <w:b/>
                <w:bCs/>
              </w:rPr>
            </w:pPr>
            <w:r w:rsidRPr="00A86BD1">
              <w:rPr>
                <w:b/>
                <w:bCs/>
              </w:rPr>
              <w:t>Unit</w:t>
            </w:r>
          </w:p>
        </w:tc>
        <w:tc>
          <w:tcPr>
            <w:tcW w:w="2674" w:type="dxa"/>
            <w:vAlign w:val="center"/>
            <w:hideMark/>
          </w:tcPr>
          <w:p w14:paraId="68A7CA3A" w14:textId="77777777" w:rsidR="00C04F67" w:rsidRPr="00A86BD1" w:rsidRDefault="00C04F67" w:rsidP="005F4178">
            <w:pPr>
              <w:spacing w:after="160" w:line="278" w:lineRule="auto"/>
              <w:ind w:left="360"/>
              <w:jc w:val="center"/>
              <w:rPr>
                <w:b/>
                <w:bCs/>
              </w:rPr>
            </w:pPr>
            <w:r w:rsidRPr="00A86BD1">
              <w:rPr>
                <w:b/>
                <w:bCs/>
              </w:rPr>
              <w:t>Quantity (Days)</w:t>
            </w:r>
          </w:p>
        </w:tc>
      </w:tr>
      <w:tr w:rsidR="00C04F67" w:rsidRPr="00A86BD1" w14:paraId="47E8EE90" w14:textId="7F77973A" w:rsidTr="00C04F67">
        <w:trPr>
          <w:trHeight w:val="546"/>
        </w:trPr>
        <w:tc>
          <w:tcPr>
            <w:tcW w:w="5235" w:type="dxa"/>
            <w:vAlign w:val="center"/>
            <w:hideMark/>
          </w:tcPr>
          <w:p w14:paraId="68ABBDCD" w14:textId="77777777" w:rsidR="00C04F67" w:rsidRPr="00A86BD1" w:rsidRDefault="00C04F67" w:rsidP="002A5F98">
            <w:pPr>
              <w:spacing w:after="160" w:line="278" w:lineRule="auto"/>
              <w:ind w:left="360"/>
              <w:jc w:val="center"/>
            </w:pPr>
            <w:r w:rsidRPr="00A86BD1">
              <w:t>Inception Report (including Work Plan)</w:t>
            </w:r>
          </w:p>
        </w:tc>
        <w:tc>
          <w:tcPr>
            <w:tcW w:w="1455" w:type="dxa"/>
            <w:vAlign w:val="center"/>
            <w:hideMark/>
          </w:tcPr>
          <w:p w14:paraId="1F9D6067" w14:textId="77777777" w:rsidR="00C04F67" w:rsidRPr="00A86BD1" w:rsidRDefault="00C04F67" w:rsidP="00415C3A">
            <w:pPr>
              <w:spacing w:after="160" w:line="278" w:lineRule="auto"/>
              <w:ind w:left="360"/>
              <w:jc w:val="center"/>
            </w:pPr>
            <w:r w:rsidRPr="00A86BD1">
              <w:t>Days</w:t>
            </w:r>
          </w:p>
        </w:tc>
        <w:tc>
          <w:tcPr>
            <w:tcW w:w="2674" w:type="dxa"/>
            <w:vAlign w:val="center"/>
            <w:hideMark/>
          </w:tcPr>
          <w:p w14:paraId="73881DB7" w14:textId="77777777" w:rsidR="00C04F67" w:rsidRPr="00A86BD1" w:rsidRDefault="00C04F67" w:rsidP="00415C3A">
            <w:pPr>
              <w:spacing w:after="160" w:line="278" w:lineRule="auto"/>
              <w:ind w:left="360"/>
              <w:jc w:val="center"/>
            </w:pPr>
            <w:r w:rsidRPr="00A86BD1">
              <w:t>10</w:t>
            </w:r>
          </w:p>
        </w:tc>
      </w:tr>
      <w:tr w:rsidR="00C04F67" w:rsidRPr="00A86BD1" w14:paraId="100E5F84" w14:textId="6F7DCECD" w:rsidTr="00C04F67">
        <w:trPr>
          <w:trHeight w:val="558"/>
        </w:trPr>
        <w:tc>
          <w:tcPr>
            <w:tcW w:w="5235" w:type="dxa"/>
            <w:vAlign w:val="center"/>
            <w:hideMark/>
          </w:tcPr>
          <w:p w14:paraId="4E14F888" w14:textId="77777777" w:rsidR="00C04F67" w:rsidRPr="00A86BD1" w:rsidRDefault="00C04F67" w:rsidP="002A5F98">
            <w:pPr>
              <w:spacing w:after="160" w:line="278" w:lineRule="auto"/>
              <w:ind w:left="360"/>
              <w:jc w:val="center"/>
            </w:pPr>
            <w:r w:rsidRPr="00A86BD1">
              <w:t>Draft Evaluation Report &amp; Raw Data</w:t>
            </w:r>
          </w:p>
        </w:tc>
        <w:tc>
          <w:tcPr>
            <w:tcW w:w="1455" w:type="dxa"/>
            <w:vAlign w:val="center"/>
            <w:hideMark/>
          </w:tcPr>
          <w:p w14:paraId="158F5AAB" w14:textId="77777777" w:rsidR="00C04F67" w:rsidRPr="00A86BD1" w:rsidRDefault="00C04F67" w:rsidP="00415C3A">
            <w:pPr>
              <w:spacing w:after="160" w:line="278" w:lineRule="auto"/>
              <w:ind w:left="360"/>
              <w:jc w:val="center"/>
            </w:pPr>
            <w:r w:rsidRPr="00A86BD1">
              <w:t>Days</w:t>
            </w:r>
          </w:p>
        </w:tc>
        <w:tc>
          <w:tcPr>
            <w:tcW w:w="2674" w:type="dxa"/>
            <w:vAlign w:val="center"/>
            <w:hideMark/>
          </w:tcPr>
          <w:p w14:paraId="3795FCC2" w14:textId="77777777" w:rsidR="00C04F67" w:rsidRPr="00A86BD1" w:rsidRDefault="00C04F67" w:rsidP="00415C3A">
            <w:pPr>
              <w:spacing w:after="160" w:line="278" w:lineRule="auto"/>
              <w:ind w:left="360"/>
              <w:jc w:val="center"/>
            </w:pPr>
            <w:r w:rsidRPr="00A86BD1">
              <w:t>20</w:t>
            </w:r>
          </w:p>
        </w:tc>
      </w:tr>
      <w:tr w:rsidR="00C04F67" w:rsidRPr="00A86BD1" w14:paraId="4736A8B0" w14:textId="789CED29" w:rsidTr="00C04F67">
        <w:trPr>
          <w:trHeight w:val="546"/>
        </w:trPr>
        <w:tc>
          <w:tcPr>
            <w:tcW w:w="5235" w:type="dxa"/>
            <w:vAlign w:val="center"/>
            <w:hideMark/>
          </w:tcPr>
          <w:p w14:paraId="127317E8" w14:textId="48E063EA" w:rsidR="00C04F67" w:rsidRPr="00A86BD1" w:rsidRDefault="00C04F67" w:rsidP="002A5F98">
            <w:pPr>
              <w:spacing w:after="160" w:line="278" w:lineRule="auto"/>
              <w:ind w:left="360"/>
              <w:jc w:val="center"/>
            </w:pPr>
            <w:r w:rsidRPr="00C84E1A">
              <w:t>Final Egypt Report + Consolidated Multi-Country Report</w:t>
            </w:r>
            <w:r>
              <w:t xml:space="preserve"> + Presentation</w:t>
            </w:r>
          </w:p>
        </w:tc>
        <w:tc>
          <w:tcPr>
            <w:tcW w:w="1455" w:type="dxa"/>
            <w:vAlign w:val="center"/>
            <w:hideMark/>
          </w:tcPr>
          <w:p w14:paraId="6468E7A9" w14:textId="77777777" w:rsidR="00C04F67" w:rsidRPr="00A86BD1" w:rsidRDefault="00C04F67" w:rsidP="002A5F98">
            <w:pPr>
              <w:spacing w:after="160" w:line="278" w:lineRule="auto"/>
              <w:ind w:left="360"/>
              <w:jc w:val="center"/>
            </w:pPr>
            <w:r w:rsidRPr="00A86BD1">
              <w:t>Days</w:t>
            </w:r>
          </w:p>
        </w:tc>
        <w:tc>
          <w:tcPr>
            <w:tcW w:w="2674" w:type="dxa"/>
            <w:vAlign w:val="center"/>
            <w:hideMark/>
          </w:tcPr>
          <w:p w14:paraId="278C2A11" w14:textId="394735B2" w:rsidR="00C04F67" w:rsidRPr="00A86BD1" w:rsidRDefault="00C04F67" w:rsidP="002A5F98">
            <w:pPr>
              <w:spacing w:after="160" w:line="278" w:lineRule="auto"/>
              <w:ind w:left="360"/>
              <w:jc w:val="center"/>
            </w:pPr>
            <w:r>
              <w:t>15</w:t>
            </w:r>
          </w:p>
        </w:tc>
      </w:tr>
      <w:tr w:rsidR="00C04F67" w:rsidRPr="00A86BD1" w14:paraId="5FB4A848" w14:textId="4B9019B3" w:rsidTr="00C04F67">
        <w:trPr>
          <w:trHeight w:val="80"/>
        </w:trPr>
        <w:tc>
          <w:tcPr>
            <w:tcW w:w="5235" w:type="dxa"/>
            <w:vAlign w:val="center"/>
            <w:hideMark/>
          </w:tcPr>
          <w:p w14:paraId="16F251F7" w14:textId="77777777" w:rsidR="00C04F67" w:rsidRPr="00A86BD1" w:rsidRDefault="00C04F67" w:rsidP="002A5F98">
            <w:pPr>
              <w:spacing w:after="160" w:line="278" w:lineRule="auto"/>
              <w:ind w:left="360"/>
              <w:jc w:val="center"/>
            </w:pPr>
            <w:r w:rsidRPr="00A86BD1">
              <w:rPr>
                <w:b/>
                <w:bCs/>
              </w:rPr>
              <w:t>Total</w:t>
            </w:r>
          </w:p>
        </w:tc>
        <w:tc>
          <w:tcPr>
            <w:tcW w:w="1455" w:type="dxa"/>
            <w:vAlign w:val="center"/>
            <w:hideMark/>
          </w:tcPr>
          <w:p w14:paraId="693F2507" w14:textId="77777777" w:rsidR="00C04F67" w:rsidRPr="00A86BD1" w:rsidRDefault="00C04F67" w:rsidP="002A5F98">
            <w:pPr>
              <w:spacing w:after="160" w:line="278" w:lineRule="auto"/>
              <w:ind w:left="360"/>
              <w:jc w:val="center"/>
            </w:pPr>
          </w:p>
        </w:tc>
        <w:tc>
          <w:tcPr>
            <w:tcW w:w="2674" w:type="dxa"/>
            <w:vAlign w:val="center"/>
            <w:hideMark/>
          </w:tcPr>
          <w:p w14:paraId="367C7581" w14:textId="65E3F1CF" w:rsidR="00C04F67" w:rsidRPr="00A86BD1" w:rsidRDefault="00C04F67" w:rsidP="002A5F98">
            <w:pPr>
              <w:spacing w:after="160" w:line="278" w:lineRule="auto"/>
              <w:ind w:left="360"/>
              <w:jc w:val="center"/>
            </w:pPr>
            <w:r>
              <w:rPr>
                <w:b/>
                <w:bCs/>
              </w:rPr>
              <w:t>45</w:t>
            </w:r>
            <w:r w:rsidRPr="00A86BD1">
              <w:rPr>
                <w:b/>
                <w:bCs/>
              </w:rPr>
              <w:t xml:space="preserve"> Days</w:t>
            </w:r>
          </w:p>
        </w:tc>
      </w:tr>
    </w:tbl>
    <w:p w14:paraId="51D289FD" w14:textId="77777777" w:rsidR="00682E61" w:rsidRPr="00A86BD1" w:rsidRDefault="00682E61" w:rsidP="0056662A">
      <w:pPr>
        <w:ind w:left="360"/>
      </w:pPr>
    </w:p>
    <w:p w14:paraId="7F787B14" w14:textId="77777777" w:rsidR="0020188D" w:rsidRPr="00A86BD1" w:rsidRDefault="0020188D" w:rsidP="00003787">
      <w:pPr>
        <w:pStyle w:val="ListParagraph"/>
        <w:numPr>
          <w:ilvl w:val="0"/>
          <w:numId w:val="43"/>
        </w:numPr>
        <w:rPr>
          <w:b/>
          <w:bCs/>
        </w:rPr>
      </w:pPr>
      <w:r w:rsidRPr="00A86BD1">
        <w:rPr>
          <w:b/>
          <w:bCs/>
        </w:rPr>
        <w:t>Administrative Costs:</w:t>
      </w:r>
    </w:p>
    <w:p w14:paraId="4C16BB81" w14:textId="77777777" w:rsidR="0020188D" w:rsidRPr="00A86BD1" w:rsidRDefault="0020188D" w:rsidP="00B230E0">
      <w:pPr>
        <w:ind w:left="360"/>
        <w:jc w:val="both"/>
      </w:pPr>
      <w:r w:rsidRPr="00A86BD1">
        <w:t>The financial offer should include a separate breakdown for administrative costs (Transportation, Accommodation, Logistics, etc.) based on actuals and CARE Egypt's policy. Electronic receipts/invoices are required for reimbursable expenses.</w:t>
      </w:r>
    </w:p>
    <w:p w14:paraId="49D8F9F0" w14:textId="77777777" w:rsidR="0020188D" w:rsidRPr="00A86BD1" w:rsidRDefault="0020188D" w:rsidP="00003787">
      <w:pPr>
        <w:pStyle w:val="ListParagraph"/>
        <w:numPr>
          <w:ilvl w:val="0"/>
          <w:numId w:val="44"/>
        </w:numPr>
        <w:rPr>
          <w:b/>
          <w:bCs/>
        </w:rPr>
      </w:pPr>
      <w:r w:rsidRPr="00A86BD1">
        <w:rPr>
          <w:b/>
          <w:bCs/>
        </w:rPr>
        <w:t>Submission Details</w:t>
      </w:r>
    </w:p>
    <w:p w14:paraId="23F9511E" w14:textId="77777777" w:rsidR="0020188D" w:rsidRPr="00A86BD1" w:rsidRDefault="0020188D" w:rsidP="00CD6005">
      <w:pPr>
        <w:ind w:left="360"/>
        <w:jc w:val="both"/>
      </w:pPr>
      <w:r w:rsidRPr="00A86BD1">
        <w:t>Deadline: Technical and Financial offers must be submitted by January 29, 2026.</w:t>
      </w:r>
    </w:p>
    <w:p w14:paraId="2EA9B913" w14:textId="77777777" w:rsidR="0020188D" w:rsidRPr="00A86BD1" w:rsidRDefault="0020188D" w:rsidP="00CD6005">
      <w:pPr>
        <w:ind w:left="360"/>
        <w:jc w:val="both"/>
      </w:pPr>
      <w:r w:rsidRPr="00A86BD1">
        <w:t>Submission: Offers should be sent via email to:</w:t>
      </w:r>
    </w:p>
    <w:p w14:paraId="402DEB30" w14:textId="7F01E387" w:rsidR="0020188D" w:rsidRPr="00A86BD1" w:rsidRDefault="00B07F75" w:rsidP="00CD6005">
      <w:pPr>
        <w:ind w:left="360"/>
        <w:jc w:val="both"/>
      </w:pPr>
      <w:hyperlink r:id="rId7" w:history="1">
        <w:r w:rsidRPr="00A86BD1">
          <w:rPr>
            <w:rStyle w:val="Hyperlink"/>
          </w:rPr>
          <w:t>Nancy.Rezkallah@cef-eg.org</w:t>
        </w:r>
      </w:hyperlink>
      <w:r w:rsidRPr="00A86BD1">
        <w:t xml:space="preserve"> and</w:t>
      </w:r>
      <w:r w:rsidR="00CD6005" w:rsidRPr="00A86BD1">
        <w:t xml:space="preserve"> </w:t>
      </w:r>
      <w:hyperlink r:id="rId8" w:history="1">
        <w:r w:rsidRPr="00A86BD1">
          <w:rPr>
            <w:rStyle w:val="Hyperlink"/>
          </w:rPr>
          <w:t>Huda.Abdelgelel@cef-eg.org</w:t>
        </w:r>
      </w:hyperlink>
      <w:r w:rsidRPr="00A86BD1">
        <w:t xml:space="preserve"> </w:t>
      </w:r>
      <w:r w:rsidR="00CD6005" w:rsidRPr="00A86BD1">
        <w:t xml:space="preserve"> </w:t>
      </w:r>
    </w:p>
    <w:p w14:paraId="3CA46FBF" w14:textId="77777777" w:rsidR="0020188D" w:rsidRPr="00A86BD1" w:rsidRDefault="0020188D" w:rsidP="00CD6005">
      <w:pPr>
        <w:ind w:left="360"/>
        <w:jc w:val="both"/>
      </w:pPr>
      <w:r w:rsidRPr="00A86BD1">
        <w:t>Subject Line: "Price Quotation – Final Evaluation – Women’s Rights Program".</w:t>
      </w:r>
    </w:p>
    <w:p w14:paraId="0B5FCE07" w14:textId="77777777" w:rsidR="0020188D" w:rsidRPr="00A86BD1" w:rsidRDefault="0020188D" w:rsidP="00003787">
      <w:pPr>
        <w:pStyle w:val="ListParagraph"/>
        <w:numPr>
          <w:ilvl w:val="0"/>
          <w:numId w:val="45"/>
        </w:numPr>
        <w:rPr>
          <w:b/>
          <w:bCs/>
        </w:rPr>
      </w:pPr>
      <w:r w:rsidRPr="00A86BD1">
        <w:rPr>
          <w:b/>
          <w:bCs/>
        </w:rPr>
        <w:t>Evaluation Criteria:</w:t>
      </w:r>
    </w:p>
    <w:p w14:paraId="756F9BA3" w14:textId="77777777" w:rsidR="0020188D" w:rsidRPr="00A86BD1" w:rsidRDefault="0020188D" w:rsidP="00003787">
      <w:pPr>
        <w:pStyle w:val="ListParagraph"/>
        <w:numPr>
          <w:ilvl w:val="0"/>
          <w:numId w:val="46"/>
        </w:numPr>
      </w:pPr>
      <w:r w:rsidRPr="00A86BD1">
        <w:t>Qualifications &amp; Relevant Experience (CVs included): 30%</w:t>
      </w:r>
    </w:p>
    <w:p w14:paraId="55B2A5CA" w14:textId="77777777" w:rsidR="0020188D" w:rsidRPr="00A86BD1" w:rsidRDefault="0020188D" w:rsidP="00003787">
      <w:pPr>
        <w:pStyle w:val="ListParagraph"/>
        <w:numPr>
          <w:ilvl w:val="0"/>
          <w:numId w:val="46"/>
        </w:numPr>
      </w:pPr>
      <w:r w:rsidRPr="00A86BD1">
        <w:t>Proposed Services (Methodology &amp; Expected Results): 40%</w:t>
      </w:r>
    </w:p>
    <w:p w14:paraId="418F0DAD" w14:textId="77777777" w:rsidR="0020188D" w:rsidRPr="00A86BD1" w:rsidRDefault="0020188D" w:rsidP="00003787">
      <w:pPr>
        <w:pStyle w:val="ListParagraph"/>
        <w:numPr>
          <w:ilvl w:val="0"/>
          <w:numId w:val="46"/>
        </w:numPr>
      </w:pPr>
      <w:r w:rsidRPr="00A86BD1">
        <w:t>Timeframe &amp; Commitment: 10%</w:t>
      </w:r>
    </w:p>
    <w:p w14:paraId="280C70C7" w14:textId="77777777" w:rsidR="0020188D" w:rsidRPr="00A86BD1" w:rsidRDefault="0020188D" w:rsidP="00003787">
      <w:pPr>
        <w:pStyle w:val="ListParagraph"/>
        <w:numPr>
          <w:ilvl w:val="0"/>
          <w:numId w:val="46"/>
        </w:numPr>
      </w:pPr>
      <w:r w:rsidRPr="00A86BD1">
        <w:t>Financial Evaluation: 20%</w:t>
      </w:r>
    </w:p>
    <w:p w14:paraId="27A1F294" w14:textId="77777777" w:rsidR="00722711" w:rsidRDefault="0020188D" w:rsidP="0056662A">
      <w:pPr>
        <w:ind w:left="360"/>
      </w:pPr>
      <w:r w:rsidRPr="00A86BD1">
        <w:t xml:space="preserve">Late submissions (after </w:t>
      </w:r>
      <w:r w:rsidR="00722711">
        <w:t>Feb</w:t>
      </w:r>
    </w:p>
    <w:p w14:paraId="004F4E59" w14:textId="4D4D4020" w:rsidR="0020188D" w:rsidRPr="00A86BD1" w:rsidRDefault="0020188D" w:rsidP="0056662A">
      <w:pPr>
        <w:ind w:left="360"/>
      </w:pPr>
      <w:r w:rsidRPr="00A86BD1">
        <w:t xml:space="preserve"> </w:t>
      </w:r>
      <w:r w:rsidR="00722711">
        <w:rPr>
          <w:rFonts w:hint="cs"/>
          <w:rtl/>
        </w:rPr>
        <w:t>28</w:t>
      </w:r>
      <w:r w:rsidRPr="00A86BD1">
        <w:t>, 2026) will not be considered.</w:t>
      </w:r>
    </w:p>
    <w:p w14:paraId="3A2AC161" w14:textId="77777777" w:rsidR="00535237" w:rsidRPr="00A86BD1" w:rsidRDefault="00535237" w:rsidP="0056662A">
      <w:pPr>
        <w:ind w:left="360"/>
        <w:rPr>
          <w:sz w:val="18"/>
          <w:szCs w:val="18"/>
        </w:rPr>
      </w:pPr>
    </w:p>
    <w:sectPr w:rsidR="00535237" w:rsidRPr="00A86BD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FB02" w14:textId="77777777" w:rsidR="00284374" w:rsidRDefault="00284374" w:rsidP="00E62D1C">
      <w:pPr>
        <w:spacing w:after="0" w:line="240" w:lineRule="auto"/>
      </w:pPr>
      <w:r>
        <w:separator/>
      </w:r>
    </w:p>
  </w:endnote>
  <w:endnote w:type="continuationSeparator" w:id="0">
    <w:p w14:paraId="69DEFA39" w14:textId="77777777" w:rsidR="00284374" w:rsidRDefault="00284374" w:rsidP="00E6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4E26" w14:textId="77777777" w:rsidR="00284374" w:rsidRDefault="00284374" w:rsidP="00E62D1C">
      <w:pPr>
        <w:spacing w:after="0" w:line="240" w:lineRule="auto"/>
      </w:pPr>
      <w:r>
        <w:separator/>
      </w:r>
    </w:p>
  </w:footnote>
  <w:footnote w:type="continuationSeparator" w:id="0">
    <w:p w14:paraId="79DA5C75" w14:textId="77777777" w:rsidR="00284374" w:rsidRDefault="00284374" w:rsidP="00E6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8268" w14:textId="0E8E0E47" w:rsidR="00E62D1C" w:rsidRDefault="00E62D1C">
    <w:pPr>
      <w:pStyle w:val="Header"/>
    </w:pPr>
    <w:r>
      <w:rPr>
        <w:rFonts w:hint="cs"/>
        <w:noProof/>
        <w:rtl/>
      </w:rPr>
      <w:drawing>
        <wp:anchor distT="0" distB="0" distL="114300" distR="114300" simplePos="0" relativeHeight="251658240" behindDoc="0" locked="0" layoutInCell="1" allowOverlap="1" wp14:anchorId="7AC663F9" wp14:editId="562F3E78">
          <wp:simplePos x="0" y="0"/>
          <wp:positionH relativeFrom="margin">
            <wp:posOffset>-412750</wp:posOffset>
          </wp:positionH>
          <wp:positionV relativeFrom="topMargin">
            <wp:align>bottom</wp:align>
          </wp:positionV>
          <wp:extent cx="1473200" cy="711583"/>
          <wp:effectExtent l="0" t="0" r="0" b="0"/>
          <wp:wrapSquare wrapText="bothSides"/>
          <wp:docPr id="947090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71158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74"/>
    <w:multiLevelType w:val="hybridMultilevel"/>
    <w:tmpl w:val="8DE29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7759A"/>
    <w:multiLevelType w:val="hybridMultilevel"/>
    <w:tmpl w:val="BCD6E852"/>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82EAA"/>
    <w:multiLevelType w:val="hybridMultilevel"/>
    <w:tmpl w:val="C9FC5D0A"/>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4A9"/>
    <w:multiLevelType w:val="hybridMultilevel"/>
    <w:tmpl w:val="74C8B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301C2"/>
    <w:multiLevelType w:val="hybridMultilevel"/>
    <w:tmpl w:val="3846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EB6EF2"/>
    <w:multiLevelType w:val="hybridMultilevel"/>
    <w:tmpl w:val="02D87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B83A84"/>
    <w:multiLevelType w:val="hybridMultilevel"/>
    <w:tmpl w:val="1424F1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9B0C8C"/>
    <w:multiLevelType w:val="hybridMultilevel"/>
    <w:tmpl w:val="F2C40348"/>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FB7F83"/>
    <w:multiLevelType w:val="hybridMultilevel"/>
    <w:tmpl w:val="10FE59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D547C5"/>
    <w:multiLevelType w:val="hybridMultilevel"/>
    <w:tmpl w:val="03843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E379F9"/>
    <w:multiLevelType w:val="hybridMultilevel"/>
    <w:tmpl w:val="56904D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954CD"/>
    <w:multiLevelType w:val="hybridMultilevel"/>
    <w:tmpl w:val="A2ECE9D8"/>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20717"/>
    <w:multiLevelType w:val="hybridMultilevel"/>
    <w:tmpl w:val="4A76FDDC"/>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C50B82"/>
    <w:multiLevelType w:val="hybridMultilevel"/>
    <w:tmpl w:val="7C9850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133811"/>
    <w:multiLevelType w:val="hybridMultilevel"/>
    <w:tmpl w:val="57E45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FD1A41"/>
    <w:multiLevelType w:val="hybridMultilevel"/>
    <w:tmpl w:val="BD202024"/>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C51ABE"/>
    <w:multiLevelType w:val="hybridMultilevel"/>
    <w:tmpl w:val="4FC0D6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B26A8D"/>
    <w:multiLevelType w:val="hybridMultilevel"/>
    <w:tmpl w:val="08C61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9F6FFA"/>
    <w:multiLevelType w:val="hybridMultilevel"/>
    <w:tmpl w:val="1548C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25118B"/>
    <w:multiLevelType w:val="hybridMultilevel"/>
    <w:tmpl w:val="AD980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B52732"/>
    <w:multiLevelType w:val="hybridMultilevel"/>
    <w:tmpl w:val="C5409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E665D2"/>
    <w:multiLevelType w:val="hybridMultilevel"/>
    <w:tmpl w:val="D3782D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C97030"/>
    <w:multiLevelType w:val="hybridMultilevel"/>
    <w:tmpl w:val="473AD22E"/>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ED571B"/>
    <w:multiLevelType w:val="hybridMultilevel"/>
    <w:tmpl w:val="BF20AC48"/>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693ADB"/>
    <w:multiLevelType w:val="hybridMultilevel"/>
    <w:tmpl w:val="766A40A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76402C9"/>
    <w:multiLevelType w:val="hybridMultilevel"/>
    <w:tmpl w:val="36166364"/>
    <w:lvl w:ilvl="0" w:tplc="56D81C8E">
      <w:start w:val="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5B01AB"/>
    <w:multiLevelType w:val="hybridMultilevel"/>
    <w:tmpl w:val="6AD848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5E4DF4"/>
    <w:multiLevelType w:val="hybridMultilevel"/>
    <w:tmpl w:val="B4D4C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EF6DD5"/>
    <w:multiLevelType w:val="hybridMultilevel"/>
    <w:tmpl w:val="96085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64089"/>
    <w:multiLevelType w:val="hybridMultilevel"/>
    <w:tmpl w:val="0C28D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3022E4"/>
    <w:multiLevelType w:val="hybridMultilevel"/>
    <w:tmpl w:val="9B4E7E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881278"/>
    <w:multiLevelType w:val="hybridMultilevel"/>
    <w:tmpl w:val="6E148C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F54F89"/>
    <w:multiLevelType w:val="hybridMultilevel"/>
    <w:tmpl w:val="0D6AD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1A537B"/>
    <w:multiLevelType w:val="multilevel"/>
    <w:tmpl w:val="9D44C6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5403399"/>
    <w:multiLevelType w:val="hybridMultilevel"/>
    <w:tmpl w:val="BF4A15BA"/>
    <w:lvl w:ilvl="0" w:tplc="56D81C8E">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C54A0"/>
    <w:multiLevelType w:val="hybridMultilevel"/>
    <w:tmpl w:val="F02684A6"/>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6BD5BDB"/>
    <w:multiLevelType w:val="hybridMultilevel"/>
    <w:tmpl w:val="54884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207163"/>
    <w:multiLevelType w:val="hybridMultilevel"/>
    <w:tmpl w:val="4210F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EF63EE"/>
    <w:multiLevelType w:val="multilevel"/>
    <w:tmpl w:val="FE022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1607B"/>
    <w:multiLevelType w:val="hybridMultilevel"/>
    <w:tmpl w:val="168C77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E765A"/>
    <w:multiLevelType w:val="multilevel"/>
    <w:tmpl w:val="346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25ECE"/>
    <w:multiLevelType w:val="hybridMultilevel"/>
    <w:tmpl w:val="A8F8D8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2F51C6"/>
    <w:multiLevelType w:val="hybridMultilevel"/>
    <w:tmpl w:val="D3E8E5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870075"/>
    <w:multiLevelType w:val="hybridMultilevel"/>
    <w:tmpl w:val="79CCF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5F1A6C"/>
    <w:multiLevelType w:val="hybridMultilevel"/>
    <w:tmpl w:val="8E4A1C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A2805"/>
    <w:multiLevelType w:val="hybridMultilevel"/>
    <w:tmpl w:val="17AA28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6B40F3"/>
    <w:multiLevelType w:val="hybridMultilevel"/>
    <w:tmpl w:val="DF484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964075"/>
    <w:multiLevelType w:val="hybridMultilevel"/>
    <w:tmpl w:val="037AD3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A858A4"/>
    <w:multiLevelType w:val="hybridMultilevel"/>
    <w:tmpl w:val="B8AE7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930047"/>
    <w:multiLevelType w:val="hybridMultilevel"/>
    <w:tmpl w:val="82EC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FC32330"/>
    <w:multiLevelType w:val="hybridMultilevel"/>
    <w:tmpl w:val="FE1AC664"/>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05224377">
    <w:abstractNumId w:val="32"/>
  </w:num>
  <w:num w:numId="2" w16cid:durableId="1568611278">
    <w:abstractNumId w:val="42"/>
  </w:num>
  <w:num w:numId="3" w16cid:durableId="289626838">
    <w:abstractNumId w:val="44"/>
  </w:num>
  <w:num w:numId="4" w16cid:durableId="1298602702">
    <w:abstractNumId w:val="8"/>
  </w:num>
  <w:num w:numId="5" w16cid:durableId="1288438784">
    <w:abstractNumId w:val="13"/>
  </w:num>
  <w:num w:numId="6" w16cid:durableId="1395277829">
    <w:abstractNumId w:val="30"/>
  </w:num>
  <w:num w:numId="7" w16cid:durableId="179399221">
    <w:abstractNumId w:val="18"/>
  </w:num>
  <w:num w:numId="8" w16cid:durableId="1073967904">
    <w:abstractNumId w:val="41"/>
  </w:num>
  <w:num w:numId="9" w16cid:durableId="1029914741">
    <w:abstractNumId w:val="5"/>
  </w:num>
  <w:num w:numId="10" w16cid:durableId="1085567713">
    <w:abstractNumId w:val="48"/>
  </w:num>
  <w:num w:numId="11" w16cid:durableId="1783955712">
    <w:abstractNumId w:val="43"/>
  </w:num>
  <w:num w:numId="12" w16cid:durableId="1106316803">
    <w:abstractNumId w:val="19"/>
  </w:num>
  <w:num w:numId="13" w16cid:durableId="1674137817">
    <w:abstractNumId w:val="27"/>
  </w:num>
  <w:num w:numId="14" w16cid:durableId="238907374">
    <w:abstractNumId w:val="36"/>
  </w:num>
  <w:num w:numId="15" w16cid:durableId="994408262">
    <w:abstractNumId w:val="49"/>
  </w:num>
  <w:num w:numId="16" w16cid:durableId="1714115481">
    <w:abstractNumId w:val="39"/>
  </w:num>
  <w:num w:numId="17" w16cid:durableId="2133862288">
    <w:abstractNumId w:val="6"/>
  </w:num>
  <w:num w:numId="18" w16cid:durableId="39862491">
    <w:abstractNumId w:val="31"/>
  </w:num>
  <w:num w:numId="19" w16cid:durableId="1533372641">
    <w:abstractNumId w:val="26"/>
  </w:num>
  <w:num w:numId="20" w16cid:durableId="2057580501">
    <w:abstractNumId w:val="28"/>
  </w:num>
  <w:num w:numId="21" w16cid:durableId="263000923">
    <w:abstractNumId w:val="20"/>
  </w:num>
  <w:num w:numId="22" w16cid:durableId="1493066375">
    <w:abstractNumId w:val="34"/>
  </w:num>
  <w:num w:numId="23" w16cid:durableId="1513108351">
    <w:abstractNumId w:val="29"/>
  </w:num>
  <w:num w:numId="24" w16cid:durableId="1486582495">
    <w:abstractNumId w:val="14"/>
  </w:num>
  <w:num w:numId="25" w16cid:durableId="65884521">
    <w:abstractNumId w:val="0"/>
  </w:num>
  <w:num w:numId="26" w16cid:durableId="1521236492">
    <w:abstractNumId w:val="9"/>
  </w:num>
  <w:num w:numId="27" w16cid:durableId="1138064238">
    <w:abstractNumId w:val="47"/>
  </w:num>
  <w:num w:numId="28" w16cid:durableId="1075474093">
    <w:abstractNumId w:val="17"/>
  </w:num>
  <w:num w:numId="29" w16cid:durableId="691884438">
    <w:abstractNumId w:val="15"/>
  </w:num>
  <w:num w:numId="30" w16cid:durableId="1556619989">
    <w:abstractNumId w:val="4"/>
  </w:num>
  <w:num w:numId="31" w16cid:durableId="1471094685">
    <w:abstractNumId w:val="2"/>
  </w:num>
  <w:num w:numId="32" w16cid:durableId="1702894432">
    <w:abstractNumId w:val="37"/>
  </w:num>
  <w:num w:numId="33" w16cid:durableId="955407529">
    <w:abstractNumId w:val="45"/>
  </w:num>
  <w:num w:numId="34" w16cid:durableId="1884705478">
    <w:abstractNumId w:val="25"/>
  </w:num>
  <w:num w:numId="35" w16cid:durableId="1125590">
    <w:abstractNumId w:val="23"/>
  </w:num>
  <w:num w:numId="36" w16cid:durableId="792481681">
    <w:abstractNumId w:val="24"/>
  </w:num>
  <w:num w:numId="37" w16cid:durableId="1938099787">
    <w:abstractNumId w:val="1"/>
  </w:num>
  <w:num w:numId="38" w16cid:durableId="1788158532">
    <w:abstractNumId w:val="22"/>
  </w:num>
  <w:num w:numId="39" w16cid:durableId="154808143">
    <w:abstractNumId w:val="11"/>
  </w:num>
  <w:num w:numId="40" w16cid:durableId="1559199178">
    <w:abstractNumId w:val="7"/>
  </w:num>
  <w:num w:numId="41" w16cid:durableId="1409225458">
    <w:abstractNumId w:val="35"/>
  </w:num>
  <w:num w:numId="42" w16cid:durableId="276059778">
    <w:abstractNumId w:val="50"/>
  </w:num>
  <w:num w:numId="43" w16cid:durableId="50544014">
    <w:abstractNumId w:val="16"/>
  </w:num>
  <w:num w:numId="44" w16cid:durableId="856038082">
    <w:abstractNumId w:val="21"/>
  </w:num>
  <w:num w:numId="45" w16cid:durableId="1159930936">
    <w:abstractNumId w:val="10"/>
  </w:num>
  <w:num w:numId="46" w16cid:durableId="138155079">
    <w:abstractNumId w:val="12"/>
  </w:num>
  <w:num w:numId="47" w16cid:durableId="669724457">
    <w:abstractNumId w:val="38"/>
  </w:num>
  <w:num w:numId="48" w16cid:durableId="1471090310">
    <w:abstractNumId w:val="40"/>
  </w:num>
  <w:num w:numId="49" w16cid:durableId="847714591">
    <w:abstractNumId w:val="46"/>
  </w:num>
  <w:num w:numId="50" w16cid:durableId="1532835361">
    <w:abstractNumId w:val="33"/>
  </w:num>
  <w:num w:numId="51" w16cid:durableId="1107122208">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B1"/>
    <w:rsid w:val="00003787"/>
    <w:rsid w:val="00030C80"/>
    <w:rsid w:val="00032586"/>
    <w:rsid w:val="00053F9C"/>
    <w:rsid w:val="00060E2E"/>
    <w:rsid w:val="00086017"/>
    <w:rsid w:val="0009379A"/>
    <w:rsid w:val="00096333"/>
    <w:rsid w:val="000A7123"/>
    <w:rsid w:val="000B18F0"/>
    <w:rsid w:val="000B470E"/>
    <w:rsid w:val="000D4277"/>
    <w:rsid w:val="000D7F0B"/>
    <w:rsid w:val="001214EB"/>
    <w:rsid w:val="00126E49"/>
    <w:rsid w:val="001A794E"/>
    <w:rsid w:val="001B3E4D"/>
    <w:rsid w:val="001D5B55"/>
    <w:rsid w:val="00200689"/>
    <w:rsid w:val="0020188D"/>
    <w:rsid w:val="0025493D"/>
    <w:rsid w:val="0027291A"/>
    <w:rsid w:val="00275DA9"/>
    <w:rsid w:val="00284374"/>
    <w:rsid w:val="00284791"/>
    <w:rsid w:val="002A5F98"/>
    <w:rsid w:val="002D280B"/>
    <w:rsid w:val="00313869"/>
    <w:rsid w:val="00316450"/>
    <w:rsid w:val="0036077D"/>
    <w:rsid w:val="003626F7"/>
    <w:rsid w:val="003775F7"/>
    <w:rsid w:val="003B5A24"/>
    <w:rsid w:val="00415C3A"/>
    <w:rsid w:val="004341B3"/>
    <w:rsid w:val="004464EB"/>
    <w:rsid w:val="00457E7B"/>
    <w:rsid w:val="004A60FC"/>
    <w:rsid w:val="004E7D2D"/>
    <w:rsid w:val="00535237"/>
    <w:rsid w:val="0054102D"/>
    <w:rsid w:val="00562E81"/>
    <w:rsid w:val="005652F4"/>
    <w:rsid w:val="0056662A"/>
    <w:rsid w:val="00577FF9"/>
    <w:rsid w:val="005F3136"/>
    <w:rsid w:val="005F4178"/>
    <w:rsid w:val="006046B1"/>
    <w:rsid w:val="006201B3"/>
    <w:rsid w:val="00637EFB"/>
    <w:rsid w:val="006465F7"/>
    <w:rsid w:val="0065069A"/>
    <w:rsid w:val="00650ED1"/>
    <w:rsid w:val="0065227A"/>
    <w:rsid w:val="00665154"/>
    <w:rsid w:val="00682E61"/>
    <w:rsid w:val="00685A42"/>
    <w:rsid w:val="006905E1"/>
    <w:rsid w:val="006F10E1"/>
    <w:rsid w:val="00722711"/>
    <w:rsid w:val="007845F9"/>
    <w:rsid w:val="007A26A5"/>
    <w:rsid w:val="007A2D94"/>
    <w:rsid w:val="007F1857"/>
    <w:rsid w:val="00807519"/>
    <w:rsid w:val="00847A3E"/>
    <w:rsid w:val="00851B7C"/>
    <w:rsid w:val="00854D4E"/>
    <w:rsid w:val="00857385"/>
    <w:rsid w:val="008B65B1"/>
    <w:rsid w:val="008B6F90"/>
    <w:rsid w:val="008C7411"/>
    <w:rsid w:val="009246AE"/>
    <w:rsid w:val="00944092"/>
    <w:rsid w:val="00956F5B"/>
    <w:rsid w:val="00962A6C"/>
    <w:rsid w:val="0099261C"/>
    <w:rsid w:val="009B3BB5"/>
    <w:rsid w:val="009B4AF7"/>
    <w:rsid w:val="009D1ED0"/>
    <w:rsid w:val="00A1302E"/>
    <w:rsid w:val="00A251F3"/>
    <w:rsid w:val="00A57FF9"/>
    <w:rsid w:val="00A602A5"/>
    <w:rsid w:val="00A61954"/>
    <w:rsid w:val="00A86BD1"/>
    <w:rsid w:val="00AA5596"/>
    <w:rsid w:val="00AA5712"/>
    <w:rsid w:val="00AB2CF4"/>
    <w:rsid w:val="00AB4F33"/>
    <w:rsid w:val="00AC7C81"/>
    <w:rsid w:val="00AC7D84"/>
    <w:rsid w:val="00AF6ADA"/>
    <w:rsid w:val="00B012F0"/>
    <w:rsid w:val="00B01524"/>
    <w:rsid w:val="00B04D59"/>
    <w:rsid w:val="00B07935"/>
    <w:rsid w:val="00B07F75"/>
    <w:rsid w:val="00B1532F"/>
    <w:rsid w:val="00B230E0"/>
    <w:rsid w:val="00B41A4A"/>
    <w:rsid w:val="00B70212"/>
    <w:rsid w:val="00B72C26"/>
    <w:rsid w:val="00B74205"/>
    <w:rsid w:val="00B7423F"/>
    <w:rsid w:val="00B85CA4"/>
    <w:rsid w:val="00B9338C"/>
    <w:rsid w:val="00B957C8"/>
    <w:rsid w:val="00BC2A1B"/>
    <w:rsid w:val="00BC7C09"/>
    <w:rsid w:val="00BD1405"/>
    <w:rsid w:val="00C04F67"/>
    <w:rsid w:val="00C11B79"/>
    <w:rsid w:val="00C459E6"/>
    <w:rsid w:val="00C76077"/>
    <w:rsid w:val="00C84E1A"/>
    <w:rsid w:val="00C874A6"/>
    <w:rsid w:val="00C96E69"/>
    <w:rsid w:val="00C97516"/>
    <w:rsid w:val="00CB2113"/>
    <w:rsid w:val="00CC13EC"/>
    <w:rsid w:val="00CC7423"/>
    <w:rsid w:val="00CD6005"/>
    <w:rsid w:val="00CF1244"/>
    <w:rsid w:val="00CF4CD9"/>
    <w:rsid w:val="00D00671"/>
    <w:rsid w:val="00D41092"/>
    <w:rsid w:val="00D50828"/>
    <w:rsid w:val="00D57753"/>
    <w:rsid w:val="00D63848"/>
    <w:rsid w:val="00D80A69"/>
    <w:rsid w:val="00D81096"/>
    <w:rsid w:val="00D93C0B"/>
    <w:rsid w:val="00D9460E"/>
    <w:rsid w:val="00D97722"/>
    <w:rsid w:val="00DA6C43"/>
    <w:rsid w:val="00DE222D"/>
    <w:rsid w:val="00DE6DD4"/>
    <w:rsid w:val="00DF41B6"/>
    <w:rsid w:val="00E322F7"/>
    <w:rsid w:val="00E41877"/>
    <w:rsid w:val="00E62D1C"/>
    <w:rsid w:val="00E755C2"/>
    <w:rsid w:val="00EA423C"/>
    <w:rsid w:val="00EA5B81"/>
    <w:rsid w:val="00ED2438"/>
    <w:rsid w:val="00ED663D"/>
    <w:rsid w:val="00F30623"/>
    <w:rsid w:val="00F51C29"/>
    <w:rsid w:val="00F6502D"/>
    <w:rsid w:val="00F76D7B"/>
    <w:rsid w:val="00FB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5501"/>
  <w15:chartTrackingRefBased/>
  <w15:docId w15:val="{651314B5-2986-4A3A-A239-C3EEA67A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B1"/>
    <w:rPr>
      <w:rFonts w:eastAsiaTheme="majorEastAsia" w:cstheme="majorBidi"/>
      <w:color w:val="272727" w:themeColor="text1" w:themeTint="D8"/>
    </w:rPr>
  </w:style>
  <w:style w:type="paragraph" w:styleId="Title">
    <w:name w:val="Title"/>
    <w:basedOn w:val="Normal"/>
    <w:next w:val="Normal"/>
    <w:link w:val="TitleChar"/>
    <w:uiPriority w:val="10"/>
    <w:qFormat/>
    <w:rsid w:val="008B6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B1"/>
    <w:pPr>
      <w:spacing w:before="160"/>
      <w:jc w:val="center"/>
    </w:pPr>
    <w:rPr>
      <w:i/>
      <w:iCs/>
      <w:color w:val="404040" w:themeColor="text1" w:themeTint="BF"/>
    </w:rPr>
  </w:style>
  <w:style w:type="character" w:customStyle="1" w:styleId="QuoteChar">
    <w:name w:val="Quote Char"/>
    <w:basedOn w:val="DefaultParagraphFont"/>
    <w:link w:val="Quote"/>
    <w:uiPriority w:val="29"/>
    <w:rsid w:val="008B65B1"/>
    <w:rPr>
      <w:i/>
      <w:iCs/>
      <w:color w:val="404040" w:themeColor="text1" w:themeTint="BF"/>
    </w:rPr>
  </w:style>
  <w:style w:type="paragraph" w:styleId="ListParagraph">
    <w:name w:val="List Paragraph"/>
    <w:basedOn w:val="Normal"/>
    <w:uiPriority w:val="34"/>
    <w:qFormat/>
    <w:rsid w:val="008B65B1"/>
    <w:pPr>
      <w:ind w:left="720"/>
      <w:contextualSpacing/>
    </w:pPr>
  </w:style>
  <w:style w:type="character" w:styleId="IntenseEmphasis">
    <w:name w:val="Intense Emphasis"/>
    <w:basedOn w:val="DefaultParagraphFont"/>
    <w:uiPriority w:val="21"/>
    <w:qFormat/>
    <w:rsid w:val="008B65B1"/>
    <w:rPr>
      <w:i/>
      <w:iCs/>
      <w:color w:val="2F5496" w:themeColor="accent1" w:themeShade="BF"/>
    </w:rPr>
  </w:style>
  <w:style w:type="paragraph" w:styleId="IntenseQuote">
    <w:name w:val="Intense Quote"/>
    <w:basedOn w:val="Normal"/>
    <w:next w:val="Normal"/>
    <w:link w:val="IntenseQuoteChar"/>
    <w:uiPriority w:val="30"/>
    <w:qFormat/>
    <w:rsid w:val="008B6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5B1"/>
    <w:rPr>
      <w:i/>
      <w:iCs/>
      <w:color w:val="2F5496" w:themeColor="accent1" w:themeShade="BF"/>
    </w:rPr>
  </w:style>
  <w:style w:type="character" w:styleId="IntenseReference">
    <w:name w:val="Intense Reference"/>
    <w:basedOn w:val="DefaultParagraphFont"/>
    <w:uiPriority w:val="32"/>
    <w:qFormat/>
    <w:rsid w:val="008B65B1"/>
    <w:rPr>
      <w:b/>
      <w:bCs/>
      <w:smallCaps/>
      <w:color w:val="2F5496" w:themeColor="accent1" w:themeShade="BF"/>
      <w:spacing w:val="5"/>
    </w:rPr>
  </w:style>
  <w:style w:type="paragraph" w:styleId="Header">
    <w:name w:val="header"/>
    <w:basedOn w:val="Normal"/>
    <w:link w:val="HeaderChar"/>
    <w:uiPriority w:val="99"/>
    <w:unhideWhenUsed/>
    <w:rsid w:val="00E6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1C"/>
  </w:style>
  <w:style w:type="paragraph" w:styleId="Footer">
    <w:name w:val="footer"/>
    <w:basedOn w:val="Normal"/>
    <w:link w:val="FooterChar"/>
    <w:uiPriority w:val="99"/>
    <w:unhideWhenUsed/>
    <w:rsid w:val="00E6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1C"/>
  </w:style>
  <w:style w:type="character" w:styleId="Hyperlink">
    <w:name w:val="Hyperlink"/>
    <w:basedOn w:val="DefaultParagraphFont"/>
    <w:uiPriority w:val="99"/>
    <w:unhideWhenUsed/>
    <w:rsid w:val="00D80A69"/>
    <w:rPr>
      <w:color w:val="0563C1" w:themeColor="hyperlink"/>
      <w:u w:val="single"/>
    </w:rPr>
  </w:style>
  <w:style w:type="character" w:styleId="UnresolvedMention">
    <w:name w:val="Unresolved Mention"/>
    <w:basedOn w:val="DefaultParagraphFont"/>
    <w:uiPriority w:val="99"/>
    <w:semiHidden/>
    <w:unhideWhenUsed/>
    <w:rsid w:val="00D80A69"/>
    <w:rPr>
      <w:color w:val="605E5C"/>
      <w:shd w:val="clear" w:color="auto" w:fill="E1DFDD"/>
    </w:rPr>
  </w:style>
  <w:style w:type="table" w:styleId="TableGrid">
    <w:name w:val="Table Grid"/>
    <w:basedOn w:val="TableNormal"/>
    <w:uiPriority w:val="39"/>
    <w:rsid w:val="00D8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da.Abdelgelel@cef-eg.org" TargetMode="External"/><Relationship Id="rId3" Type="http://schemas.openxmlformats.org/officeDocument/2006/relationships/settings" Target="settings.xml"/><Relationship Id="rId7" Type="http://schemas.openxmlformats.org/officeDocument/2006/relationships/hyperlink" Target="mailto:Nancy.Rezkallah@cef-e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12</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Hamed</dc:creator>
  <cp:keywords/>
  <dc:description/>
  <cp:lastModifiedBy>Suzan Hamed</cp:lastModifiedBy>
  <cp:revision>136</cp:revision>
  <dcterms:created xsi:type="dcterms:W3CDTF">2026-01-12T08:31:00Z</dcterms:created>
  <dcterms:modified xsi:type="dcterms:W3CDTF">2026-02-15T12:16:00Z</dcterms:modified>
</cp:coreProperties>
</file>